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9C4E" w14:textId="77777777" w:rsidR="002F0401" w:rsidRDefault="002F0401" w:rsidP="002F0401">
      <w:r w:rsidRPr="00844B74">
        <w:rPr>
          <w:b/>
          <w:bCs/>
        </w:rPr>
        <w:t>Organisation:</w:t>
      </w:r>
      <w:r w:rsidRPr="00844B74">
        <w:br/>
      </w:r>
      <w:r>
        <w:t>Reach Advocacy</w:t>
      </w:r>
    </w:p>
    <w:p w14:paraId="75940638" w14:textId="77777777" w:rsidR="002F0401" w:rsidRPr="00844B74" w:rsidRDefault="002F0401" w:rsidP="002F0401"/>
    <w:p w14:paraId="4ABF80CA" w14:textId="77777777" w:rsidR="002F0401" w:rsidRPr="00844B74" w:rsidRDefault="002F0401" w:rsidP="002F0401">
      <w:r w:rsidRPr="00844B74">
        <w:rPr>
          <w:b/>
          <w:bCs/>
        </w:rPr>
        <w:t>Key Rights Applied:</w:t>
      </w:r>
    </w:p>
    <w:p w14:paraId="2FBC9555" w14:textId="77777777" w:rsidR="002F0401" w:rsidRPr="0044108B" w:rsidRDefault="002F0401" w:rsidP="002F0401">
      <w:pPr>
        <w:rPr>
          <w:bCs/>
        </w:rPr>
      </w:pPr>
      <w:r w:rsidRPr="0044108B">
        <w:rPr>
          <w:bCs/>
        </w:rPr>
        <w:t xml:space="preserve">Right to Life </w:t>
      </w:r>
    </w:p>
    <w:p w14:paraId="70B9B072" w14:textId="77777777" w:rsidR="002F0401" w:rsidRDefault="002F0401" w:rsidP="002F0401">
      <w:pPr>
        <w:rPr>
          <w:bCs/>
        </w:rPr>
      </w:pPr>
      <w:r w:rsidRPr="00D735C0">
        <w:rPr>
          <w:bCs/>
        </w:rPr>
        <w:t>Right to the highest attainable standard of physical and mental health</w:t>
      </w:r>
    </w:p>
    <w:p w14:paraId="1EB30C10" w14:textId="77777777" w:rsidR="002F0401" w:rsidRPr="0044108B" w:rsidRDefault="002F0401" w:rsidP="002F0401">
      <w:pPr>
        <w:rPr>
          <w:bCs/>
        </w:rPr>
      </w:pPr>
      <w:r w:rsidRPr="0044108B">
        <w:rPr>
          <w:bCs/>
        </w:rPr>
        <w:t xml:space="preserve">Right to an adequate standard of living </w:t>
      </w:r>
    </w:p>
    <w:p w14:paraId="55E28506" w14:textId="77777777" w:rsidR="002F0401" w:rsidRPr="0044108B" w:rsidRDefault="002F0401" w:rsidP="002F0401">
      <w:pPr>
        <w:rPr>
          <w:bCs/>
        </w:rPr>
      </w:pPr>
      <w:r w:rsidRPr="0044108B">
        <w:rPr>
          <w:bCs/>
        </w:rPr>
        <w:t xml:space="preserve">Freedom from inhuman or degrading treatment (dignity) </w:t>
      </w:r>
    </w:p>
    <w:p w14:paraId="6E160E65" w14:textId="77777777" w:rsidR="002F0401" w:rsidRDefault="002F0401" w:rsidP="002F0401">
      <w:pPr>
        <w:rPr>
          <w:b/>
          <w:bCs/>
        </w:rPr>
      </w:pPr>
    </w:p>
    <w:p w14:paraId="5F332303" w14:textId="77777777" w:rsidR="002F0401" w:rsidRDefault="002F0401" w:rsidP="002F0401">
      <w:pPr>
        <w:rPr>
          <w:b/>
          <w:bCs/>
        </w:rPr>
      </w:pPr>
      <w:r w:rsidRPr="00844B74">
        <w:rPr>
          <w:b/>
          <w:bCs/>
        </w:rPr>
        <w:t>Background &amp; Context:</w:t>
      </w:r>
    </w:p>
    <w:p w14:paraId="47D320B4" w14:textId="77777777" w:rsidR="002F0401" w:rsidRPr="00230C27" w:rsidRDefault="002F0401" w:rsidP="002F0401">
      <w:pPr>
        <w:rPr>
          <w:rFonts w:eastAsia="DM Sans" w:cs="Arial"/>
          <w:i/>
          <w:iCs/>
          <w:color w:val="000000"/>
          <w:szCs w:val="24"/>
        </w:rPr>
      </w:pPr>
      <w:r w:rsidRPr="00803A7E">
        <w:rPr>
          <w:rFonts w:eastAsia="DM Sans" w:cs="Arial"/>
          <w:color w:val="000000"/>
          <w:szCs w:val="24"/>
        </w:rPr>
        <w:t>Reach Advocacy</w:t>
      </w:r>
      <w:r>
        <w:rPr>
          <w:rFonts w:eastAsia="DM Sans" w:cs="Arial"/>
          <w:color w:val="000000"/>
          <w:szCs w:val="24"/>
        </w:rPr>
        <w:t xml:space="preserve"> </w:t>
      </w:r>
      <w:r w:rsidRPr="00825323">
        <w:rPr>
          <w:rFonts w:eastAsia="DM Sans" w:cs="Arial"/>
          <w:color w:val="000000"/>
          <w:szCs w:val="24"/>
        </w:rPr>
        <w:t>are a lived experience charity</w:t>
      </w:r>
      <w:r w:rsidRPr="00825323">
        <w:rPr>
          <w:rFonts w:eastAsia="DM Sans" w:cs="Arial"/>
          <w:i/>
          <w:iCs/>
          <w:color w:val="000000"/>
          <w:szCs w:val="24"/>
        </w:rPr>
        <w:t xml:space="preserve"> </w:t>
      </w:r>
      <w:r w:rsidRPr="00825323">
        <w:rPr>
          <w:rFonts w:eastAsia="DM Sans" w:cs="Arial"/>
          <w:color w:val="000000"/>
          <w:szCs w:val="24"/>
        </w:rPr>
        <w:t xml:space="preserve">that </w:t>
      </w:r>
      <w:r>
        <w:rPr>
          <w:rFonts w:eastAsia="DM Sans" w:cs="Arial"/>
          <w:color w:val="000000"/>
          <w:szCs w:val="24"/>
        </w:rPr>
        <w:t>provides education and training in Human Rights-Based awareness and advocacy. They</w:t>
      </w:r>
      <w:r w:rsidRPr="00803A7E">
        <w:rPr>
          <w:rFonts w:eastAsia="DM Sans" w:cs="Arial"/>
          <w:color w:val="000000"/>
          <w:szCs w:val="24"/>
        </w:rPr>
        <w:t xml:space="preserve"> have developed a variety of training programs and workshops, all of which use the Human Rights Act 1998, international legislation, and a variety of other domestic policies, standards, and guidelines</w:t>
      </w:r>
      <w:r>
        <w:rPr>
          <w:rFonts w:eastAsia="DM Sans" w:cs="Arial"/>
          <w:color w:val="000000"/>
          <w:szCs w:val="24"/>
        </w:rPr>
        <w:t xml:space="preserve">. They also offer an </w:t>
      </w:r>
      <w:proofErr w:type="spellStart"/>
      <w:r>
        <w:rPr>
          <w:rFonts w:eastAsia="DM Sans" w:cs="Arial"/>
          <w:color w:val="000000"/>
          <w:szCs w:val="24"/>
        </w:rPr>
        <w:t>SQA</w:t>
      </w:r>
      <w:proofErr w:type="spellEnd"/>
      <w:r>
        <w:rPr>
          <w:rFonts w:eastAsia="DM Sans" w:cs="Arial"/>
          <w:color w:val="000000"/>
          <w:szCs w:val="24"/>
        </w:rPr>
        <w:t>-accredited</w:t>
      </w:r>
      <w:r w:rsidRPr="00342AD3">
        <w:rPr>
          <w:rFonts w:eastAsia="DM Sans" w:cs="Arial"/>
          <w:color w:val="000000"/>
          <w:szCs w:val="24"/>
        </w:rPr>
        <w:t xml:space="preserve"> SCQF level 7</w:t>
      </w:r>
      <w:r>
        <w:rPr>
          <w:rFonts w:eastAsia="DM Sans" w:cs="Arial"/>
          <w:color w:val="000000"/>
          <w:szCs w:val="24"/>
        </w:rPr>
        <w:t xml:space="preserve"> </w:t>
      </w:r>
      <w:r w:rsidRPr="00342AD3">
        <w:rPr>
          <w:rFonts w:eastAsia="DM Sans" w:cs="Arial"/>
          <w:color w:val="000000"/>
          <w:szCs w:val="24"/>
        </w:rPr>
        <w:t>advocacy qualification for advocates</w:t>
      </w:r>
      <w:r>
        <w:rPr>
          <w:rFonts w:eastAsia="DM Sans" w:cs="Arial"/>
          <w:color w:val="000000"/>
          <w:szCs w:val="24"/>
        </w:rPr>
        <w:t xml:space="preserve">, </w:t>
      </w:r>
      <w:r w:rsidRPr="00825323">
        <w:rPr>
          <w:rFonts w:eastAsia="DM Sans" w:cs="Arial"/>
          <w:color w:val="000000"/>
          <w:szCs w:val="24"/>
        </w:rPr>
        <w:t>equivalent to SVQ 3 in Health and Social Care. Reach has over 100 accredited human rights-based advocates across Scotland.</w:t>
      </w:r>
    </w:p>
    <w:p w14:paraId="099A617A" w14:textId="77777777" w:rsidR="002F040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</w:p>
    <w:p w14:paraId="029A2EC2" w14:textId="77777777" w:rsidR="002F040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>
        <w:rPr>
          <w:rFonts w:eastAsia="DM Sans" w:cs="Arial"/>
          <w:color w:val="000000"/>
          <w:szCs w:val="24"/>
        </w:rPr>
        <w:t>The</w:t>
      </w:r>
      <w:r w:rsidRPr="00342AD3">
        <w:rPr>
          <w:rFonts w:eastAsia="DM Sans" w:cs="Arial"/>
          <w:color w:val="000000"/>
          <w:szCs w:val="24"/>
        </w:rPr>
        <w:t xml:space="preserve"> current education and training</w:t>
      </w:r>
      <w:r>
        <w:rPr>
          <w:rFonts w:eastAsia="DM Sans" w:cs="Arial"/>
          <w:color w:val="000000"/>
          <w:szCs w:val="24"/>
        </w:rPr>
        <w:t xml:space="preserve"> programs aim to achieve the following:</w:t>
      </w:r>
      <w:r w:rsidRPr="00342AD3">
        <w:rPr>
          <w:rFonts w:eastAsia="DM Sans" w:cs="Arial"/>
          <w:color w:val="000000"/>
          <w:szCs w:val="24"/>
        </w:rPr>
        <w:t xml:space="preserve"> </w:t>
      </w:r>
    </w:p>
    <w:p w14:paraId="70008D1C" w14:textId="77777777" w:rsidR="002F0401" w:rsidRPr="00342AD3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</w:p>
    <w:p w14:paraId="603253B3" w14:textId="77777777" w:rsidR="002F0401" w:rsidRPr="00342AD3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342AD3">
        <w:rPr>
          <w:rFonts w:eastAsia="DM Sans" w:cs="Arial"/>
          <w:color w:val="000000"/>
          <w:szCs w:val="24"/>
        </w:rPr>
        <w:t xml:space="preserve">1. Increase the knowledge and skills of the workforce, to understand the role of human rights and responsibilities that emerge from Charter implementation and their role as service providers, and duty-bearers. </w:t>
      </w:r>
    </w:p>
    <w:p w14:paraId="05C1D36C" w14:textId="77777777" w:rsidR="002F0401" w:rsidRPr="00342AD3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342AD3">
        <w:rPr>
          <w:rFonts w:eastAsia="DM Sans" w:cs="Arial"/>
          <w:color w:val="000000"/>
          <w:szCs w:val="24"/>
        </w:rPr>
        <w:t xml:space="preserve">2. Build confidence of community groups, family members, and individuals with lived/living experience to use human rights tools and understand their entitlements as rights-holders. </w:t>
      </w:r>
    </w:p>
    <w:p w14:paraId="77D87E18" w14:textId="77777777" w:rsidR="002F0401" w:rsidRPr="00803A7E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342AD3">
        <w:rPr>
          <w:rFonts w:eastAsia="DM Sans" w:cs="Arial"/>
          <w:color w:val="000000"/>
          <w:szCs w:val="24"/>
        </w:rPr>
        <w:t xml:space="preserve">3. Train accredited advocates to be human rights champions, and ensure that they are supported as rights defenders, with knowledge and understanding of human rights, frameworks, and legislation. </w:t>
      </w:r>
    </w:p>
    <w:p w14:paraId="476A50D6" w14:textId="77777777" w:rsidR="002F0401" w:rsidRDefault="002F0401" w:rsidP="002F0401">
      <w:pPr>
        <w:rPr>
          <w:b/>
          <w:bCs/>
        </w:rPr>
      </w:pPr>
    </w:p>
    <w:p w14:paraId="54ABEDCB" w14:textId="77777777" w:rsidR="002F0401" w:rsidRPr="003A633B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szCs w:val="24"/>
        </w:rPr>
      </w:pPr>
      <w:r w:rsidRPr="00844B74">
        <w:rPr>
          <w:b/>
          <w:bCs/>
        </w:rPr>
        <w:t>Use of the Charter Toolkit:</w:t>
      </w:r>
    </w:p>
    <w:p w14:paraId="62CE6C98" w14:textId="77777777" w:rsidR="002F0401" w:rsidRPr="00803A7E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9018EA">
        <w:rPr>
          <w:rFonts w:eastAsia="DM Sans" w:cs="Arial"/>
          <w:color w:val="000000"/>
          <w:szCs w:val="24"/>
        </w:rPr>
        <w:t>Reach works with</w:t>
      </w:r>
      <w:r>
        <w:rPr>
          <w:rFonts w:eastAsia="DM Sans" w:cs="Arial"/>
          <w:color w:val="000000"/>
          <w:szCs w:val="24"/>
        </w:rPr>
        <w:t xml:space="preserve"> s</w:t>
      </w:r>
      <w:r w:rsidRPr="00825323">
        <w:rPr>
          <w:rFonts w:eastAsia="DM Sans" w:cs="Arial"/>
          <w:color w:val="000000"/>
          <w:szCs w:val="24"/>
        </w:rPr>
        <w:t>enior managers</w:t>
      </w:r>
      <w:r>
        <w:rPr>
          <w:rFonts w:eastAsia="DM Sans" w:cs="Arial"/>
          <w:color w:val="000000"/>
          <w:szCs w:val="24"/>
        </w:rPr>
        <w:t>, front-line</w:t>
      </w:r>
      <w:r w:rsidRPr="009018EA">
        <w:rPr>
          <w:rFonts w:eastAsia="DM Sans" w:cs="Arial"/>
          <w:color w:val="000000"/>
          <w:szCs w:val="24"/>
        </w:rPr>
        <w:t xml:space="preserve"> staff, family members, carers, and </w:t>
      </w:r>
      <w:r>
        <w:rPr>
          <w:rFonts w:eastAsia="DM Sans" w:cs="Arial"/>
          <w:color w:val="000000"/>
          <w:szCs w:val="24"/>
        </w:rPr>
        <w:t>people</w:t>
      </w:r>
      <w:r w:rsidRPr="009018EA">
        <w:rPr>
          <w:rFonts w:eastAsia="DM Sans" w:cs="Arial"/>
          <w:color w:val="000000"/>
          <w:szCs w:val="24"/>
        </w:rPr>
        <w:t xml:space="preserve"> with lived/living experience to increase their knowledge and understanding of key human rights issues.</w:t>
      </w:r>
      <w:r>
        <w:rPr>
          <w:rFonts w:eastAsia="DM Sans" w:cs="Arial"/>
          <w:color w:val="000000"/>
          <w:szCs w:val="24"/>
        </w:rPr>
        <w:t xml:space="preserve"> The</w:t>
      </w:r>
      <w:r w:rsidRPr="00803A7E">
        <w:rPr>
          <w:rFonts w:eastAsia="DM Sans" w:cs="Arial"/>
          <w:color w:val="000000"/>
          <w:szCs w:val="24"/>
        </w:rPr>
        <w:t xml:space="preserve"> work</w:t>
      </w:r>
      <w:r>
        <w:rPr>
          <w:rFonts w:eastAsia="DM Sans" w:cs="Arial"/>
          <w:color w:val="000000"/>
          <w:szCs w:val="24"/>
        </w:rPr>
        <w:t>shops</w:t>
      </w:r>
      <w:r w:rsidRPr="00803A7E">
        <w:rPr>
          <w:rFonts w:eastAsia="DM Sans" w:cs="Arial"/>
          <w:color w:val="000000"/>
          <w:szCs w:val="24"/>
        </w:rPr>
        <w:t xml:space="preserve"> </w:t>
      </w:r>
      <w:r>
        <w:rPr>
          <w:rFonts w:eastAsia="DM Sans" w:cs="Arial"/>
          <w:color w:val="000000"/>
          <w:szCs w:val="24"/>
        </w:rPr>
        <w:t>include</w:t>
      </w:r>
      <w:r w:rsidRPr="00803A7E">
        <w:rPr>
          <w:rFonts w:eastAsia="DM Sans" w:cs="Arial"/>
          <w:color w:val="000000"/>
          <w:szCs w:val="24"/>
        </w:rPr>
        <w:t xml:space="preserve"> key elements of the Charter (Human rights, MAT Standards, and the Orange Book) and tools from the Charter Toolkit (</w:t>
      </w:r>
      <w:proofErr w:type="spellStart"/>
      <w:r w:rsidRPr="00803A7E">
        <w:rPr>
          <w:rFonts w:eastAsia="DM Sans" w:cs="Arial"/>
          <w:color w:val="000000"/>
          <w:szCs w:val="24"/>
        </w:rPr>
        <w:t>AAAQ</w:t>
      </w:r>
      <w:proofErr w:type="spellEnd"/>
      <w:r w:rsidRPr="00803A7E">
        <w:rPr>
          <w:rFonts w:eastAsia="DM Sans" w:cs="Arial"/>
          <w:color w:val="000000"/>
          <w:szCs w:val="24"/>
        </w:rPr>
        <w:t>, PANEL, FAIR, and Advocacy)</w:t>
      </w:r>
      <w:r>
        <w:rPr>
          <w:rFonts w:eastAsia="DM Sans" w:cs="Arial"/>
          <w:color w:val="000000"/>
          <w:szCs w:val="24"/>
        </w:rPr>
        <w:t>.</w:t>
      </w:r>
      <w:r w:rsidRPr="00803A7E">
        <w:rPr>
          <w:rFonts w:eastAsia="DM Sans" w:cs="Arial"/>
          <w:color w:val="000000"/>
          <w:szCs w:val="24"/>
        </w:rPr>
        <w:t xml:space="preserve"> </w:t>
      </w:r>
    </w:p>
    <w:p w14:paraId="2428F9FB" w14:textId="77777777" w:rsidR="002F0401" w:rsidRDefault="002F0401" w:rsidP="002F0401">
      <w:pPr>
        <w:rPr>
          <w:b/>
          <w:bCs/>
        </w:rPr>
      </w:pPr>
    </w:p>
    <w:p w14:paraId="530AE833" w14:textId="77777777" w:rsidR="002F0401" w:rsidRPr="00C23D9F" w:rsidRDefault="002F0401" w:rsidP="002F0401">
      <w:r>
        <w:rPr>
          <w:b/>
          <w:bCs/>
        </w:rPr>
        <w:t>Results to date</w:t>
      </w:r>
      <w:r w:rsidRPr="00844B74">
        <w:rPr>
          <w:b/>
          <w:bCs/>
        </w:rPr>
        <w:t>:</w:t>
      </w:r>
    </w:p>
    <w:p w14:paraId="647ADA72" w14:textId="77777777" w:rsidR="002F0401" w:rsidRPr="00825323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>
        <w:rPr>
          <w:rFonts w:eastAsia="DM Sans" w:cs="Arial"/>
          <w:color w:val="000000"/>
          <w:szCs w:val="24"/>
        </w:rPr>
        <w:t xml:space="preserve">In FY 24-25, </w:t>
      </w:r>
      <w:r w:rsidRPr="00E12F4A">
        <w:rPr>
          <w:rFonts w:eastAsia="DM Sans" w:cs="Arial"/>
          <w:color w:val="000000"/>
          <w:szCs w:val="24"/>
        </w:rPr>
        <w:t xml:space="preserve">450 individuals representing over 80 distinct organisations in Scotland </w:t>
      </w:r>
      <w:r>
        <w:rPr>
          <w:rFonts w:eastAsia="DM Sans" w:cs="Arial"/>
          <w:color w:val="000000"/>
          <w:szCs w:val="24"/>
        </w:rPr>
        <w:t>took part in</w:t>
      </w:r>
      <w:r w:rsidRPr="00E12F4A">
        <w:rPr>
          <w:rFonts w:eastAsia="DM Sans" w:cs="Arial"/>
          <w:color w:val="000000"/>
          <w:szCs w:val="24"/>
        </w:rPr>
        <w:t xml:space="preserve"> workshops and accredited training</w:t>
      </w:r>
      <w:r>
        <w:rPr>
          <w:rFonts w:eastAsia="DM Sans" w:cs="Arial"/>
          <w:color w:val="000000"/>
          <w:szCs w:val="24"/>
        </w:rPr>
        <w:t xml:space="preserve">. </w:t>
      </w:r>
      <w:r w:rsidRPr="00825323">
        <w:rPr>
          <w:rFonts w:eastAsia="DM Sans" w:cs="Arial"/>
          <w:color w:val="000000"/>
          <w:szCs w:val="24"/>
        </w:rPr>
        <w:t>Reach has delivered in every locality in Scotland</w:t>
      </w:r>
      <w:r>
        <w:rPr>
          <w:rFonts w:eastAsia="DM Sans" w:cs="Arial"/>
          <w:color w:val="000000"/>
          <w:szCs w:val="24"/>
        </w:rPr>
        <w:t>.</w:t>
      </w:r>
    </w:p>
    <w:p w14:paraId="581B3329" w14:textId="77777777" w:rsidR="002F040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</w:p>
    <w:p w14:paraId="26868D61" w14:textId="77777777" w:rsidR="002F040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>
        <w:rPr>
          <w:rFonts w:eastAsia="DM Sans" w:cs="Arial"/>
          <w:color w:val="000000"/>
          <w:szCs w:val="24"/>
        </w:rPr>
        <w:t xml:space="preserve">Participants engaged in training included </w:t>
      </w:r>
      <w:r w:rsidRPr="00E12F4A">
        <w:rPr>
          <w:rFonts w:eastAsia="DM Sans" w:cs="Arial"/>
          <w:color w:val="000000"/>
          <w:szCs w:val="24"/>
        </w:rPr>
        <w:t>statutory services, community groups and third-sector services</w:t>
      </w:r>
      <w:r>
        <w:rPr>
          <w:rFonts w:eastAsia="DM Sans" w:cs="Arial"/>
          <w:color w:val="000000"/>
          <w:szCs w:val="24"/>
        </w:rPr>
        <w:t xml:space="preserve">, with 30% of </w:t>
      </w:r>
      <w:r w:rsidRPr="00E12F4A">
        <w:rPr>
          <w:rFonts w:eastAsia="DM Sans" w:cs="Arial"/>
          <w:color w:val="000000"/>
          <w:szCs w:val="24"/>
        </w:rPr>
        <w:t>participants identif</w:t>
      </w:r>
      <w:r>
        <w:rPr>
          <w:rFonts w:eastAsia="DM Sans" w:cs="Arial"/>
          <w:color w:val="000000"/>
          <w:szCs w:val="24"/>
        </w:rPr>
        <w:t>ying</w:t>
      </w:r>
      <w:r w:rsidRPr="00E12F4A">
        <w:rPr>
          <w:rFonts w:eastAsia="DM Sans" w:cs="Arial"/>
          <w:color w:val="000000"/>
          <w:szCs w:val="24"/>
        </w:rPr>
        <w:t xml:space="preserve"> themselves as lived/living experience and/or family members of people affected by substance use. </w:t>
      </w:r>
      <w:r>
        <w:rPr>
          <w:rFonts w:eastAsia="DM Sans" w:cs="Arial"/>
          <w:color w:val="000000"/>
          <w:szCs w:val="24"/>
        </w:rPr>
        <w:t>Participants’ knowledge before and after attending training was recorded, with the following results:</w:t>
      </w:r>
    </w:p>
    <w:p w14:paraId="12EA81C8" w14:textId="77777777" w:rsidR="002F040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</w:p>
    <w:p w14:paraId="49818A55" w14:textId="77777777" w:rsidR="002F040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  <w:u w:val="single"/>
        </w:rPr>
      </w:pPr>
    </w:p>
    <w:p w14:paraId="09A4ACF5" w14:textId="77777777" w:rsidR="002F040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  <w:u w:val="single"/>
        </w:rPr>
      </w:pPr>
    </w:p>
    <w:p w14:paraId="0D8BF0D3" w14:textId="77777777" w:rsidR="002F0401" w:rsidRPr="00B04B03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  <w:u w:val="single"/>
        </w:rPr>
      </w:pPr>
      <w:r w:rsidRPr="00B04B03">
        <w:rPr>
          <w:rFonts w:eastAsia="DM Sans" w:cs="Arial"/>
          <w:color w:val="000000"/>
          <w:szCs w:val="24"/>
          <w:u w:val="single"/>
        </w:rPr>
        <w:lastRenderedPageBreak/>
        <w:t>Human Rights Act 1998 (includes 4 of the Charter’s Key Rights)</w:t>
      </w:r>
    </w:p>
    <w:p w14:paraId="4CA27C82" w14:textId="77777777" w:rsidR="002F0401" w:rsidRPr="00E12F4A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E12F4A">
        <w:rPr>
          <w:rFonts w:eastAsia="DM Sans" w:cs="Arial"/>
          <w:color w:val="000000"/>
          <w:szCs w:val="24"/>
        </w:rPr>
        <w:t xml:space="preserve">Very Poor/Poor understanding decreased from 27% to 1% </w:t>
      </w:r>
    </w:p>
    <w:p w14:paraId="108F675D" w14:textId="77777777" w:rsidR="002F0401" w:rsidRPr="00E12F4A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E12F4A">
        <w:rPr>
          <w:rFonts w:eastAsia="DM Sans" w:cs="Arial"/>
          <w:color w:val="000000"/>
          <w:szCs w:val="24"/>
        </w:rPr>
        <w:t xml:space="preserve">Fair understanding decreased from 21% to 14% </w:t>
      </w:r>
    </w:p>
    <w:p w14:paraId="687D0FFB" w14:textId="77777777" w:rsidR="002F0401" w:rsidRPr="00E12F4A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E12F4A">
        <w:rPr>
          <w:rFonts w:eastAsia="DM Sans" w:cs="Arial"/>
          <w:color w:val="000000"/>
          <w:szCs w:val="24"/>
        </w:rPr>
        <w:t xml:space="preserve">Good/Very Good understanding increased from 5% to 85% </w:t>
      </w:r>
    </w:p>
    <w:p w14:paraId="20DB0F0A" w14:textId="77777777" w:rsidR="002F040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</w:p>
    <w:p w14:paraId="0EDCB9F8" w14:textId="77777777" w:rsidR="002F0401" w:rsidRPr="00B04B03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  <w:u w:val="single"/>
        </w:rPr>
      </w:pPr>
      <w:r w:rsidRPr="00E12F4A">
        <w:rPr>
          <w:rFonts w:eastAsia="DM Sans" w:cs="Arial"/>
          <w:color w:val="000000"/>
          <w:szCs w:val="24"/>
          <w:u w:val="single"/>
        </w:rPr>
        <w:t>The Orange Book</w:t>
      </w:r>
      <w:r>
        <w:rPr>
          <w:rFonts w:eastAsia="DM Sans" w:cs="Arial"/>
          <w:color w:val="000000"/>
          <w:szCs w:val="24"/>
          <w:u w:val="single"/>
        </w:rPr>
        <w:t xml:space="preserve">, </w:t>
      </w:r>
      <w:r w:rsidRPr="00E12F4A">
        <w:rPr>
          <w:rFonts w:eastAsia="DM Sans" w:cs="Arial"/>
          <w:color w:val="000000"/>
          <w:szCs w:val="24"/>
          <w:u w:val="single"/>
        </w:rPr>
        <w:t>2017</w:t>
      </w:r>
      <w:r w:rsidRPr="00606297">
        <w:rPr>
          <w:rFonts w:eastAsia="DM Sans" w:cs="Arial"/>
          <w:color w:val="000000"/>
          <w:szCs w:val="24"/>
        </w:rPr>
        <w:t xml:space="preserve"> (</w:t>
      </w:r>
      <w:r w:rsidRPr="00E12F4A">
        <w:rPr>
          <w:rFonts w:eastAsia="DM Sans" w:cs="Arial"/>
          <w:color w:val="000000"/>
          <w:szCs w:val="24"/>
        </w:rPr>
        <w:t>included in Charter as evidence of existing guidance related to Key Rights</w:t>
      </w:r>
      <w:r>
        <w:rPr>
          <w:rFonts w:eastAsia="DM Sans" w:cs="Arial"/>
          <w:color w:val="000000"/>
          <w:szCs w:val="24"/>
        </w:rPr>
        <w:t>)</w:t>
      </w:r>
      <w:r w:rsidRPr="00E12F4A">
        <w:rPr>
          <w:rFonts w:eastAsia="DM Sans" w:cs="Arial"/>
          <w:color w:val="000000"/>
          <w:szCs w:val="24"/>
          <w:u w:val="single"/>
        </w:rPr>
        <w:t xml:space="preserve"> </w:t>
      </w:r>
      <w:r w:rsidRPr="007509F1">
        <w:rPr>
          <w:rFonts w:eastAsia="DM Sans" w:cs="Arial"/>
          <w:color w:val="000000"/>
          <w:szCs w:val="24"/>
        </w:rPr>
        <w:t xml:space="preserve"> </w:t>
      </w:r>
    </w:p>
    <w:p w14:paraId="44D70F93" w14:textId="77777777" w:rsidR="002F0401" w:rsidRPr="007509F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7509F1">
        <w:rPr>
          <w:rFonts w:eastAsia="DM Sans" w:cs="Arial"/>
          <w:color w:val="000000"/>
          <w:szCs w:val="24"/>
        </w:rPr>
        <w:t xml:space="preserve">Very Poor/Poor understanding decreased from 79% to 4%. </w:t>
      </w:r>
    </w:p>
    <w:p w14:paraId="097D41E3" w14:textId="77777777" w:rsidR="002F0401" w:rsidRPr="007509F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7509F1">
        <w:rPr>
          <w:rFonts w:eastAsia="DM Sans" w:cs="Arial"/>
          <w:color w:val="000000"/>
          <w:szCs w:val="24"/>
        </w:rPr>
        <w:t xml:space="preserve">Fair understanding increased from 12% to 31%. </w:t>
      </w:r>
    </w:p>
    <w:p w14:paraId="25555FE2" w14:textId="77777777" w:rsidR="002F0401" w:rsidRPr="007509F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7509F1">
        <w:rPr>
          <w:rFonts w:eastAsia="DM Sans" w:cs="Arial"/>
          <w:color w:val="000000"/>
          <w:szCs w:val="24"/>
        </w:rPr>
        <w:t xml:space="preserve">Good/Very Good understanding increased from 7% to 65%. </w:t>
      </w:r>
    </w:p>
    <w:p w14:paraId="574C2057" w14:textId="77777777" w:rsidR="002F040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  <w:u w:val="single"/>
        </w:rPr>
      </w:pPr>
    </w:p>
    <w:p w14:paraId="1E818F23" w14:textId="77777777" w:rsidR="002F0401" w:rsidRPr="007509F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  <w:u w:val="single"/>
        </w:rPr>
      </w:pPr>
      <w:r w:rsidRPr="007509F1">
        <w:rPr>
          <w:rFonts w:eastAsia="DM Sans" w:cs="Arial"/>
          <w:color w:val="000000"/>
          <w:szCs w:val="24"/>
          <w:u w:val="single"/>
        </w:rPr>
        <w:t xml:space="preserve">The MAT Standards </w:t>
      </w:r>
      <w:r>
        <w:rPr>
          <w:rFonts w:eastAsia="DM Sans" w:cs="Arial"/>
          <w:color w:val="000000"/>
          <w:szCs w:val="24"/>
          <w:u w:val="single"/>
        </w:rPr>
        <w:t>(</w:t>
      </w:r>
      <w:r w:rsidRPr="007509F1">
        <w:rPr>
          <w:rFonts w:eastAsia="DM Sans" w:cs="Arial"/>
          <w:color w:val="000000"/>
          <w:szCs w:val="24"/>
        </w:rPr>
        <w:t>included in Charter as evidence of existing standards related to Key Rights</w:t>
      </w:r>
      <w:r>
        <w:rPr>
          <w:rFonts w:eastAsia="DM Sans" w:cs="Arial"/>
          <w:color w:val="000000"/>
          <w:szCs w:val="24"/>
        </w:rPr>
        <w:t>)</w:t>
      </w:r>
      <w:r w:rsidRPr="007509F1">
        <w:rPr>
          <w:rFonts w:eastAsia="DM Sans" w:cs="Arial"/>
          <w:color w:val="000000"/>
          <w:szCs w:val="24"/>
          <w:u w:val="single"/>
        </w:rPr>
        <w:t xml:space="preserve"> </w:t>
      </w:r>
    </w:p>
    <w:p w14:paraId="6B5CE9E9" w14:textId="77777777" w:rsidR="002F0401" w:rsidRPr="007509F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7509F1">
        <w:rPr>
          <w:rFonts w:eastAsia="DM Sans" w:cs="Arial"/>
          <w:color w:val="000000"/>
          <w:szCs w:val="24"/>
        </w:rPr>
        <w:t xml:space="preserve">Participants reporting a Very Poor/Poor understanding decreased from 25% to 0%. </w:t>
      </w:r>
    </w:p>
    <w:p w14:paraId="66867253" w14:textId="77777777" w:rsidR="002F0401" w:rsidRPr="007509F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7509F1">
        <w:rPr>
          <w:rFonts w:eastAsia="DM Sans" w:cs="Arial"/>
          <w:color w:val="000000"/>
          <w:szCs w:val="24"/>
        </w:rPr>
        <w:t xml:space="preserve">Participants reporting a Fair understanding decreased from 37% to 7%. </w:t>
      </w:r>
    </w:p>
    <w:p w14:paraId="4EDCBC88" w14:textId="77777777" w:rsidR="002F0401" w:rsidRPr="007509F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7509F1">
        <w:rPr>
          <w:rFonts w:eastAsia="DM Sans" w:cs="Arial"/>
          <w:color w:val="000000"/>
          <w:szCs w:val="24"/>
        </w:rPr>
        <w:t xml:space="preserve">Participants reporting a Good/Very Good understanding increased from 38% to 93%. </w:t>
      </w:r>
    </w:p>
    <w:p w14:paraId="05399A35" w14:textId="77777777" w:rsidR="002F040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  <w:u w:val="single"/>
        </w:rPr>
      </w:pPr>
    </w:p>
    <w:p w14:paraId="0DDD8CD8" w14:textId="77777777" w:rsidR="002F0401" w:rsidRPr="007509F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  <w:u w:val="single"/>
        </w:rPr>
      </w:pPr>
      <w:r w:rsidRPr="007509F1">
        <w:rPr>
          <w:rFonts w:eastAsia="DM Sans" w:cs="Arial"/>
          <w:color w:val="000000"/>
          <w:szCs w:val="24"/>
          <w:u w:val="single"/>
        </w:rPr>
        <w:t xml:space="preserve">The </w:t>
      </w:r>
      <w:proofErr w:type="spellStart"/>
      <w:r w:rsidRPr="007509F1">
        <w:rPr>
          <w:rFonts w:eastAsia="DM Sans" w:cs="Arial"/>
          <w:color w:val="000000"/>
          <w:szCs w:val="24"/>
          <w:u w:val="single"/>
        </w:rPr>
        <w:t>AAAQ</w:t>
      </w:r>
      <w:proofErr w:type="spellEnd"/>
      <w:r w:rsidRPr="007509F1">
        <w:rPr>
          <w:rFonts w:eastAsia="DM Sans" w:cs="Arial"/>
          <w:color w:val="000000"/>
          <w:szCs w:val="24"/>
          <w:u w:val="single"/>
        </w:rPr>
        <w:t xml:space="preserve"> Framework </w:t>
      </w:r>
      <w:r>
        <w:rPr>
          <w:rFonts w:eastAsia="DM Sans" w:cs="Arial"/>
          <w:color w:val="000000"/>
          <w:szCs w:val="24"/>
          <w:u w:val="single"/>
        </w:rPr>
        <w:t>(</w:t>
      </w:r>
      <w:r w:rsidRPr="007509F1">
        <w:rPr>
          <w:rFonts w:eastAsia="DM Sans" w:cs="Arial"/>
          <w:color w:val="000000"/>
          <w:szCs w:val="24"/>
        </w:rPr>
        <w:t xml:space="preserve">included in Charter toolkit as </w:t>
      </w:r>
      <w:r>
        <w:rPr>
          <w:rFonts w:eastAsia="DM Sans" w:cs="Arial"/>
          <w:color w:val="000000"/>
          <w:szCs w:val="24"/>
        </w:rPr>
        <w:t>a</w:t>
      </w:r>
      <w:r w:rsidRPr="007509F1">
        <w:rPr>
          <w:rFonts w:eastAsia="DM Sans" w:cs="Arial"/>
          <w:color w:val="000000"/>
          <w:szCs w:val="24"/>
        </w:rPr>
        <w:t xml:space="preserve"> tool </w:t>
      </w:r>
      <w:r>
        <w:rPr>
          <w:rFonts w:eastAsia="DM Sans" w:cs="Arial"/>
          <w:color w:val="000000"/>
          <w:szCs w:val="24"/>
        </w:rPr>
        <w:t xml:space="preserve">for </w:t>
      </w:r>
      <w:r w:rsidRPr="007509F1">
        <w:rPr>
          <w:rFonts w:eastAsia="DM Sans" w:cs="Arial"/>
          <w:color w:val="000000"/>
          <w:szCs w:val="24"/>
        </w:rPr>
        <w:t>creating indicators and checklists</w:t>
      </w:r>
      <w:r>
        <w:rPr>
          <w:rFonts w:eastAsia="DM Sans" w:cs="Arial"/>
          <w:color w:val="000000"/>
          <w:szCs w:val="24"/>
        </w:rPr>
        <w:t>)</w:t>
      </w:r>
    </w:p>
    <w:p w14:paraId="0770E6AE" w14:textId="77777777" w:rsidR="002F0401" w:rsidRPr="007509F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7509F1">
        <w:rPr>
          <w:rFonts w:eastAsia="DM Sans" w:cs="Arial"/>
          <w:color w:val="000000"/>
          <w:szCs w:val="24"/>
        </w:rPr>
        <w:t xml:space="preserve">Very Poor/Poor understanding decreased from 86% to 1%. </w:t>
      </w:r>
    </w:p>
    <w:p w14:paraId="114E5B22" w14:textId="77777777" w:rsidR="002F0401" w:rsidRPr="007509F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7509F1">
        <w:rPr>
          <w:rFonts w:eastAsia="DM Sans" w:cs="Arial"/>
          <w:color w:val="000000"/>
          <w:szCs w:val="24"/>
        </w:rPr>
        <w:t xml:space="preserve">Fair understanding increased from 8% to 22%. </w:t>
      </w:r>
    </w:p>
    <w:p w14:paraId="060AEA7E" w14:textId="77777777" w:rsidR="002F040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7509F1">
        <w:rPr>
          <w:rFonts w:eastAsia="DM Sans" w:cs="Arial"/>
          <w:color w:val="000000"/>
          <w:szCs w:val="24"/>
        </w:rPr>
        <w:t>Good/Very Good understanding increased from 3% to 77%.</w:t>
      </w:r>
    </w:p>
    <w:p w14:paraId="6BD28DA8" w14:textId="77777777" w:rsidR="002F040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</w:p>
    <w:p w14:paraId="0791547B" w14:textId="77777777" w:rsidR="002F0401" w:rsidRPr="00C54876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  <w:u w:val="single"/>
        </w:rPr>
      </w:pPr>
      <w:r w:rsidRPr="00C54876">
        <w:rPr>
          <w:rFonts w:eastAsia="DM Sans" w:cs="Arial"/>
          <w:color w:val="000000"/>
          <w:szCs w:val="24"/>
          <w:u w:val="single"/>
        </w:rPr>
        <w:t>The FAIR Model</w:t>
      </w:r>
      <w:r>
        <w:rPr>
          <w:rFonts w:eastAsia="DM Sans" w:cs="Arial"/>
          <w:color w:val="000000"/>
          <w:szCs w:val="24"/>
          <w:u w:val="single"/>
        </w:rPr>
        <w:t xml:space="preserve"> (</w:t>
      </w:r>
      <w:r w:rsidRPr="00C54876">
        <w:rPr>
          <w:rFonts w:eastAsia="DM Sans" w:cs="Arial"/>
          <w:color w:val="000000"/>
          <w:szCs w:val="24"/>
        </w:rPr>
        <w:t>i</w:t>
      </w:r>
      <w:r>
        <w:rPr>
          <w:rFonts w:eastAsia="DM Sans" w:cs="Arial"/>
          <w:color w:val="000000"/>
          <w:szCs w:val="24"/>
        </w:rPr>
        <w:t>ncluded</w:t>
      </w:r>
      <w:r w:rsidRPr="00C54876">
        <w:rPr>
          <w:rFonts w:eastAsia="DM Sans" w:cs="Arial"/>
          <w:color w:val="000000"/>
          <w:szCs w:val="24"/>
        </w:rPr>
        <w:t xml:space="preserve"> in Charter toolkit as a recommended best practice model for the application of a human rights-based approach</w:t>
      </w:r>
      <w:r>
        <w:rPr>
          <w:rFonts w:eastAsia="DM Sans" w:cs="Arial"/>
          <w:color w:val="000000"/>
          <w:szCs w:val="24"/>
        </w:rPr>
        <w:t>)</w:t>
      </w:r>
    </w:p>
    <w:p w14:paraId="6D629C44" w14:textId="77777777" w:rsidR="002F0401" w:rsidRPr="00C54876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C54876">
        <w:rPr>
          <w:rFonts w:eastAsia="DM Sans" w:cs="Arial"/>
          <w:color w:val="000000"/>
          <w:szCs w:val="24"/>
        </w:rPr>
        <w:t xml:space="preserve">Very Poor/Poor understanding decreased from 79% to 2%. </w:t>
      </w:r>
    </w:p>
    <w:p w14:paraId="7B11D5A2" w14:textId="77777777" w:rsidR="002F0401" w:rsidRPr="00C54876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C54876">
        <w:rPr>
          <w:rFonts w:eastAsia="DM Sans" w:cs="Arial"/>
          <w:color w:val="000000"/>
          <w:szCs w:val="24"/>
        </w:rPr>
        <w:t xml:space="preserve">Fair understanding increased from 15% to 26%. </w:t>
      </w:r>
    </w:p>
    <w:p w14:paraId="763DAEA5" w14:textId="77777777" w:rsidR="002F0401" w:rsidRPr="00984528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C54876">
        <w:rPr>
          <w:rFonts w:eastAsia="DM Sans" w:cs="Arial"/>
          <w:color w:val="000000"/>
          <w:szCs w:val="24"/>
        </w:rPr>
        <w:t xml:space="preserve">Good/Very Good understanding increased from 4% to 72%. </w:t>
      </w:r>
    </w:p>
    <w:p w14:paraId="3761E774" w14:textId="77777777" w:rsidR="002F0401" w:rsidRDefault="002F0401" w:rsidP="002F0401">
      <w:pPr>
        <w:rPr>
          <w:b/>
          <w:bCs/>
        </w:rPr>
      </w:pPr>
    </w:p>
    <w:p w14:paraId="41F91C31" w14:textId="77777777" w:rsidR="002F0401" w:rsidRPr="00844B74" w:rsidRDefault="002F0401" w:rsidP="002F0401">
      <w:r w:rsidRPr="00844B74">
        <w:rPr>
          <w:b/>
          <w:bCs/>
        </w:rPr>
        <w:t>Lessons Learned:</w:t>
      </w:r>
    </w:p>
    <w:p w14:paraId="0CBB4F7B" w14:textId="77777777" w:rsidR="002F0401" w:rsidRPr="00C54876" w:rsidRDefault="002F0401" w:rsidP="002F0401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DM Sans" w:cs="Arial"/>
          <w:color w:val="000000"/>
          <w:szCs w:val="24"/>
        </w:rPr>
      </w:pPr>
      <w:r w:rsidRPr="00C54876">
        <w:rPr>
          <w:rFonts w:eastAsia="DM Sans" w:cs="Arial"/>
          <w:color w:val="000000"/>
          <w:szCs w:val="24"/>
        </w:rPr>
        <w:t xml:space="preserve">There is a significant unmet demand for training and education around a human rights-based approach, and tools of the Charter. </w:t>
      </w:r>
    </w:p>
    <w:p w14:paraId="08E4E6B2" w14:textId="77777777" w:rsidR="002F0401" w:rsidRPr="00F007AF" w:rsidRDefault="002F0401" w:rsidP="002F0401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DM Sans" w:cs="Arial"/>
          <w:color w:val="000000"/>
          <w:szCs w:val="24"/>
        </w:rPr>
      </w:pPr>
      <w:r w:rsidRPr="00C54876">
        <w:rPr>
          <w:rFonts w:eastAsia="DM Sans" w:cs="Arial"/>
          <w:color w:val="000000"/>
          <w:szCs w:val="24"/>
        </w:rPr>
        <w:t xml:space="preserve">Training is an effective way to increase awareness of the Charter and upskill the workforce to help implement it. </w:t>
      </w:r>
    </w:p>
    <w:p w14:paraId="5072F94E" w14:textId="77777777" w:rsidR="002F0401" w:rsidRPr="00F007AF" w:rsidRDefault="002F0401" w:rsidP="002F0401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DM Sans" w:cs="Arial"/>
          <w:color w:val="000000"/>
          <w:szCs w:val="24"/>
        </w:rPr>
      </w:pPr>
      <w:r w:rsidRPr="00F007AF">
        <w:rPr>
          <w:rFonts w:eastAsia="DM Sans" w:cs="Arial"/>
          <w:color w:val="000000"/>
          <w:szCs w:val="24"/>
        </w:rPr>
        <w:t xml:space="preserve">Empowering people through education and training is an essential part of ensuring that any human rights-based approach is embedded across Scotland. </w:t>
      </w:r>
    </w:p>
    <w:p w14:paraId="65D2F97A" w14:textId="77777777" w:rsidR="002F0401" w:rsidRPr="00F007AF" w:rsidRDefault="002F0401" w:rsidP="002F0401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DM Sans" w:cs="Arial"/>
          <w:color w:val="000000"/>
          <w:szCs w:val="24"/>
        </w:rPr>
      </w:pPr>
      <w:r w:rsidRPr="00F007AF">
        <w:rPr>
          <w:rFonts w:eastAsia="DM Sans" w:cs="Arial"/>
          <w:color w:val="000000"/>
          <w:szCs w:val="24"/>
        </w:rPr>
        <w:t xml:space="preserve">Rights-holders need a better understanding of their entitlements to experience the full benefits of the Charter and existing standards, guidelines, and legislation. </w:t>
      </w:r>
    </w:p>
    <w:p w14:paraId="69B9BCD9" w14:textId="77777777" w:rsidR="002F0401" w:rsidRPr="00F007AF" w:rsidRDefault="002F0401" w:rsidP="002F0401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DM Sans" w:cs="Arial"/>
          <w:color w:val="000000"/>
          <w:szCs w:val="24"/>
        </w:rPr>
      </w:pPr>
      <w:r w:rsidRPr="00F007AF">
        <w:rPr>
          <w:rFonts w:eastAsia="DM Sans" w:cs="Arial"/>
          <w:color w:val="000000"/>
          <w:szCs w:val="24"/>
        </w:rPr>
        <w:t xml:space="preserve">Accredited advocacy graduates report feeling more equipped to use human rights-based arguments, to support people across Scotland, and defend their rights. </w:t>
      </w:r>
    </w:p>
    <w:p w14:paraId="158EB085" w14:textId="77777777" w:rsidR="002F0401" w:rsidRPr="00FB5B39" w:rsidRDefault="002F0401" w:rsidP="002F0401">
      <w:pPr>
        <w:rPr>
          <w:rFonts w:eastAsia="DM Sans"/>
        </w:rPr>
      </w:pPr>
    </w:p>
    <w:p w14:paraId="1E169012" w14:textId="77777777" w:rsidR="002F0401" w:rsidRDefault="002F0401" w:rsidP="002F0401">
      <w:pPr>
        <w:pBdr>
          <w:top w:val="nil"/>
          <w:left w:val="nil"/>
          <w:bottom w:val="nil"/>
          <w:right w:val="nil"/>
          <w:between w:val="nil"/>
        </w:pBdr>
        <w:rPr>
          <w:rFonts w:eastAsia="DM Sans" w:cs="Arial"/>
          <w:color w:val="000000"/>
          <w:szCs w:val="24"/>
        </w:rPr>
      </w:pPr>
      <w:r w:rsidRPr="00B53038">
        <w:rPr>
          <w:b/>
          <w:bCs/>
        </w:rPr>
        <w:t>Recommendations for Others:</w:t>
      </w:r>
    </w:p>
    <w:p w14:paraId="62A1CD64" w14:textId="77777777" w:rsidR="002F0401" w:rsidRPr="006C1D1D" w:rsidRDefault="002F0401" w:rsidP="002F0401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DM Sans" w:cs="Arial"/>
          <w:color w:val="000000"/>
          <w:szCs w:val="24"/>
        </w:rPr>
      </w:pPr>
      <w:r w:rsidRPr="006C1D1D">
        <w:rPr>
          <w:rFonts w:eastAsia="DM Sans" w:cs="Arial"/>
          <w:color w:val="000000"/>
          <w:szCs w:val="24"/>
        </w:rPr>
        <w:t>A unified approach is essential for ensuring that these rights are implemented effectively across all sectors.</w:t>
      </w:r>
    </w:p>
    <w:p w14:paraId="745160C6" w14:textId="77777777" w:rsidR="002F0401" w:rsidRPr="00B53038" w:rsidRDefault="002F0401" w:rsidP="002F0401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DM Sans" w:cs="Arial"/>
          <w:color w:val="000000"/>
          <w:szCs w:val="24"/>
        </w:rPr>
      </w:pPr>
      <w:r w:rsidRPr="00B53038">
        <w:rPr>
          <w:rFonts w:eastAsia="DM Sans" w:cs="Arial"/>
          <w:color w:val="000000"/>
          <w:szCs w:val="24"/>
        </w:rPr>
        <w:t>Knowledge and skills training related to a human rights-based approach are required for rights-holders, duty bearers, and rights defenders.</w:t>
      </w:r>
    </w:p>
    <w:p w14:paraId="70FA77E6" w14:textId="77777777" w:rsidR="002F0401" w:rsidRPr="00E43468" w:rsidRDefault="002F0401" w:rsidP="002F0401">
      <w:pPr>
        <w:rPr>
          <w:b/>
          <w:bCs/>
        </w:rPr>
      </w:pPr>
    </w:p>
    <w:p w14:paraId="53D6A904" w14:textId="77777777" w:rsidR="002F0401" w:rsidRPr="0066643F" w:rsidRDefault="002F0401" w:rsidP="002F0401"/>
    <w:p w14:paraId="5DF66FB4" w14:textId="77777777" w:rsidR="00027C27" w:rsidRPr="009B7615" w:rsidRDefault="00027C27" w:rsidP="00B561C0"/>
    <w:sectPr w:rsidR="00027C27" w:rsidRPr="009B7615" w:rsidSect="00B561C0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C66D" w14:textId="77777777" w:rsidR="00FB0E4C" w:rsidRDefault="00FB0E4C" w:rsidP="00EA560F">
      <w:r>
        <w:separator/>
      </w:r>
    </w:p>
  </w:endnote>
  <w:endnote w:type="continuationSeparator" w:id="0">
    <w:p w14:paraId="144B0453" w14:textId="77777777" w:rsidR="00FB0E4C" w:rsidRDefault="00FB0E4C" w:rsidP="00EA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B3B3" w14:textId="760392FB" w:rsidR="008D53B8" w:rsidRDefault="008D53B8">
    <w:pPr>
      <w:pStyle w:val="Footer"/>
    </w:pPr>
    <w:r w:rsidRPr="001E0B98">
      <w:rPr>
        <w:i/>
        <w:iCs/>
        <w:noProof/>
        <w:lang w:val="en-US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3B6CC72C" wp14:editId="022A9B67">
              <wp:simplePos x="0" y="0"/>
              <wp:positionH relativeFrom="page">
                <wp:posOffset>9525</wp:posOffset>
              </wp:positionH>
              <wp:positionV relativeFrom="page">
                <wp:posOffset>10393045</wp:posOffset>
              </wp:positionV>
              <wp:extent cx="7559675" cy="279400"/>
              <wp:effectExtent l="0" t="0" r="3175" b="6350"/>
              <wp:wrapTopAndBottom/>
              <wp:docPr id="75763943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279400"/>
                        <a:chOff x="0" y="0"/>
                        <a:chExt cx="7560424" cy="279400"/>
                      </a:xfrm>
                    </wpg:grpSpPr>
                    <wps:wsp>
                      <wps:cNvPr id="1694400173" name="Graphic 2"/>
                      <wps:cNvSpPr/>
                      <wps:spPr>
                        <a:xfrm>
                          <a:off x="6105004" y="0"/>
                          <a:ext cx="145542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5420" h="279400">
                              <a:moveTo>
                                <a:pt x="1454988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454988" y="278993"/>
                              </a:lnTo>
                              <a:lnTo>
                                <a:pt x="1454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3F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7004079" name="Graphic 3"/>
                      <wps:cNvSpPr/>
                      <wps:spPr>
                        <a:xfrm>
                          <a:off x="4549800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BE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542389" name="Graphic 4"/>
                      <wps:cNvSpPr/>
                      <wps:spPr>
                        <a:xfrm>
                          <a:off x="2994609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4C8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4058307" name="Graphic 5"/>
                      <wps:cNvSpPr/>
                      <wps:spPr>
                        <a:xfrm>
                          <a:off x="1439405" y="0"/>
                          <a:ext cx="155575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5750" h="279400">
                              <a:moveTo>
                                <a:pt x="1555203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555203" y="278993"/>
                              </a:lnTo>
                              <a:lnTo>
                                <a:pt x="1555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4552387" name="Graphic 6"/>
                      <wps:cNvSpPr/>
                      <wps:spPr>
                        <a:xfrm>
                          <a:off x="0" y="0"/>
                          <a:ext cx="1439545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9545" h="279400">
                              <a:moveTo>
                                <a:pt x="1439405" y="0"/>
                              </a:moveTo>
                              <a:lnTo>
                                <a:pt x="0" y="0"/>
                              </a:lnTo>
                              <a:lnTo>
                                <a:pt x="0" y="278993"/>
                              </a:lnTo>
                              <a:lnTo>
                                <a:pt x="1439405" y="278993"/>
                              </a:lnTo>
                              <a:lnTo>
                                <a:pt x="1439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B27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5B439B" id="Group 5" o:spid="_x0000_s1026" style="position:absolute;margin-left:.75pt;margin-top:818.35pt;width:595.25pt;height:22pt;z-index:251659264;mso-wrap-distance-left:0;mso-wrap-distance-right:0;mso-position-horizontal-relative:page;mso-position-vertical-relative:page" coordsize="75604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">
              <v:shape id="Graphic 2" o:spid="_x0000_s1027" style="position:absolute;left:61050;width:14554;height:2794;visibility:visible;mso-wrap-style:square;v-text-anchor:top" coordsize="145542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" path="m1454988,l,,,278993r1454988,l1454988,xe" fillcolor="#ef3f6a" stroked="f">
                <v:path arrowok="t"/>
              </v:shape>
              <v:shape id="Graphic 3" o:spid="_x0000_s1028" style="position:absolute;left:45498;width:15557;height:2794;visibility:visible;mso-wrap-style:square;v-text-anchor:top" coordsize="15557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" path="m1555203,l,,,278993r1555203,l1555203,xe" fillcolor="#febe4d" stroked="f">
                <v:path arrowok="t"/>
              </v:shape>
              <v:shape id="Graphic 4" o:spid="_x0000_s1029" style="position:absolute;left:29946;width:15557;height:2794;visibility:visible;mso-wrap-style:square;v-text-anchor:top" coordsize="15557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" path="m1555203,l,,,278993r1555203,l1555203,xe" fillcolor="#74c8b1" stroked="f">
                <v:path arrowok="t"/>
              </v:shape>
              <v:shape id="Graphic 5" o:spid="_x0000_s1030" style="position:absolute;left:14394;width:15557;height:2794;visibility:visible;mso-wrap-style:square;v-text-anchor:top" coordsize="155575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" path="m1555203,l,,,278993r1555203,l1555203,xe" fillcolor="#00aeef" stroked="f">
                <v:path arrowok="t"/>
              </v:shape>
              <v:shape id="Graphic 6" o:spid="_x0000_s1031" style="position:absolute;width:14395;height:2794;visibility:visible;mso-wrap-style:square;v-text-anchor:top" coordsize="143954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" path="m1439405,l,,,278993r1439405,l1439405,xe" fillcolor="#7b277d" stroked="f">
                <v:path arrowok="t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E741" w14:textId="77777777" w:rsidR="00FB0E4C" w:rsidRDefault="00FB0E4C" w:rsidP="00EA560F">
      <w:r>
        <w:separator/>
      </w:r>
    </w:p>
  </w:footnote>
  <w:footnote w:type="continuationSeparator" w:id="0">
    <w:p w14:paraId="26D95A28" w14:textId="77777777" w:rsidR="00FB0E4C" w:rsidRDefault="00FB0E4C" w:rsidP="00EA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A053" w14:textId="43767BEE" w:rsidR="00EA560F" w:rsidRDefault="0027612A" w:rsidP="0027612A">
    <w:pPr>
      <w:pStyle w:val="Header"/>
      <w:tabs>
        <w:tab w:val="clear" w:pos="8306"/>
        <w:tab w:val="left" w:pos="7485"/>
      </w:tabs>
    </w:pPr>
    <w:r w:rsidRPr="001E0B98">
      <w:rPr>
        <w:i/>
        <w:iCs/>
        <w:noProof/>
        <w:lang w:val="en-US"/>
      </w:rPr>
      <w:drawing>
        <wp:anchor distT="0" distB="0" distL="114300" distR="114300" simplePos="0" relativeHeight="251661312" behindDoc="1" locked="0" layoutInCell="1" allowOverlap="1" wp14:anchorId="2CF538FC" wp14:editId="079F0E99">
          <wp:simplePos x="0" y="0"/>
          <wp:positionH relativeFrom="column">
            <wp:posOffset>3876675</wp:posOffset>
          </wp:positionH>
          <wp:positionV relativeFrom="paragraph">
            <wp:posOffset>-133350</wp:posOffset>
          </wp:positionV>
          <wp:extent cx="1809750" cy="536575"/>
          <wp:effectExtent l="0" t="0" r="0" b="0"/>
          <wp:wrapTight wrapText="bothSides">
            <wp:wrapPolygon edited="0">
              <wp:start x="15916" y="0"/>
              <wp:lineTo x="0" y="767"/>
              <wp:lineTo x="0" y="19938"/>
              <wp:lineTo x="18644" y="20705"/>
              <wp:lineTo x="20691" y="20705"/>
              <wp:lineTo x="21373" y="18405"/>
              <wp:lineTo x="21145" y="15337"/>
              <wp:lineTo x="19326" y="13037"/>
              <wp:lineTo x="21145" y="9202"/>
              <wp:lineTo x="21145" y="6135"/>
              <wp:lineTo x="17735" y="0"/>
              <wp:lineTo x="15916" y="0"/>
            </wp:wrapPolygon>
          </wp:wrapTight>
          <wp:docPr id="343522157" name="Picture 6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black background with blue and green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" t="9799" r="4785" b="7287"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60F">
      <w:t>CHARTER – EMERGING PRACTICE EXAMPLE/CASE STUDY</w:t>
    </w:r>
    <w:r>
      <w:tab/>
    </w:r>
  </w:p>
  <w:p w14:paraId="776A1654" w14:textId="5063ED1C" w:rsidR="00EA560F" w:rsidRDefault="00EA56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DB500D"/>
    <w:multiLevelType w:val="hybridMultilevel"/>
    <w:tmpl w:val="B56E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45CE9"/>
    <w:multiLevelType w:val="hybridMultilevel"/>
    <w:tmpl w:val="4DD6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43597"/>
    <w:multiLevelType w:val="hybridMultilevel"/>
    <w:tmpl w:val="4B3E0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7B6B97"/>
    <w:multiLevelType w:val="hybridMultilevel"/>
    <w:tmpl w:val="4F3AE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8410D"/>
    <w:multiLevelType w:val="hybridMultilevel"/>
    <w:tmpl w:val="B2DE9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074D7"/>
    <w:multiLevelType w:val="hybridMultilevel"/>
    <w:tmpl w:val="3692E14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079F8"/>
    <w:multiLevelType w:val="hybridMultilevel"/>
    <w:tmpl w:val="D61A48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E0AD9"/>
    <w:multiLevelType w:val="multilevel"/>
    <w:tmpl w:val="973C58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39792192"/>
    <w:multiLevelType w:val="multilevel"/>
    <w:tmpl w:val="1318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43064"/>
    <w:multiLevelType w:val="hybridMultilevel"/>
    <w:tmpl w:val="5CF0D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20F69"/>
    <w:multiLevelType w:val="hybridMultilevel"/>
    <w:tmpl w:val="A932966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EC187E"/>
    <w:multiLevelType w:val="multilevel"/>
    <w:tmpl w:val="BDFAC5C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1096506"/>
    <w:multiLevelType w:val="multilevel"/>
    <w:tmpl w:val="BE44D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E858DB"/>
    <w:multiLevelType w:val="hybridMultilevel"/>
    <w:tmpl w:val="FC782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422FBE"/>
    <w:multiLevelType w:val="hybridMultilevel"/>
    <w:tmpl w:val="AF9EB6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98740F0"/>
    <w:multiLevelType w:val="multilevel"/>
    <w:tmpl w:val="EEBE86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1203440"/>
    <w:multiLevelType w:val="hybridMultilevel"/>
    <w:tmpl w:val="9790E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D53F7"/>
    <w:multiLevelType w:val="multilevel"/>
    <w:tmpl w:val="E0B621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924026221">
    <w:abstractNumId w:val="16"/>
  </w:num>
  <w:num w:numId="2" w16cid:durableId="1609509636">
    <w:abstractNumId w:val="0"/>
  </w:num>
  <w:num w:numId="3" w16cid:durableId="1181509605">
    <w:abstractNumId w:val="0"/>
  </w:num>
  <w:num w:numId="4" w16cid:durableId="881747327">
    <w:abstractNumId w:val="0"/>
  </w:num>
  <w:num w:numId="5" w16cid:durableId="41291574">
    <w:abstractNumId w:val="16"/>
  </w:num>
  <w:num w:numId="6" w16cid:durableId="1514421113">
    <w:abstractNumId w:val="0"/>
  </w:num>
  <w:num w:numId="7" w16cid:durableId="1763378954">
    <w:abstractNumId w:val="9"/>
  </w:num>
  <w:num w:numId="8" w16cid:durableId="142045816">
    <w:abstractNumId w:val="13"/>
  </w:num>
  <w:num w:numId="9" w16cid:durableId="268246637">
    <w:abstractNumId w:val="1"/>
  </w:num>
  <w:num w:numId="10" w16cid:durableId="17046405">
    <w:abstractNumId w:val="16"/>
  </w:num>
  <w:num w:numId="11" w16cid:durableId="1228227917">
    <w:abstractNumId w:val="7"/>
  </w:num>
  <w:num w:numId="12" w16cid:durableId="1314217288">
    <w:abstractNumId w:val="15"/>
  </w:num>
  <w:num w:numId="13" w16cid:durableId="2096433200">
    <w:abstractNumId w:val="11"/>
  </w:num>
  <w:num w:numId="14" w16cid:durableId="700979700">
    <w:abstractNumId w:val="6"/>
  </w:num>
  <w:num w:numId="15" w16cid:durableId="1320574681">
    <w:abstractNumId w:val="3"/>
  </w:num>
  <w:num w:numId="16" w16cid:durableId="2098478577">
    <w:abstractNumId w:val="5"/>
  </w:num>
  <w:num w:numId="17" w16cid:durableId="1005016029">
    <w:abstractNumId w:val="4"/>
  </w:num>
  <w:num w:numId="18" w16cid:durableId="2043439807">
    <w:abstractNumId w:val="2"/>
  </w:num>
  <w:num w:numId="19" w16cid:durableId="384718462">
    <w:abstractNumId w:val="18"/>
  </w:num>
  <w:num w:numId="20" w16cid:durableId="755709982">
    <w:abstractNumId w:val="12"/>
  </w:num>
  <w:num w:numId="21" w16cid:durableId="1849443275">
    <w:abstractNumId w:val="17"/>
  </w:num>
  <w:num w:numId="22" w16cid:durableId="444425753">
    <w:abstractNumId w:val="8"/>
  </w:num>
  <w:num w:numId="23" w16cid:durableId="1921796117">
    <w:abstractNumId w:val="19"/>
  </w:num>
  <w:num w:numId="24" w16cid:durableId="1238781694">
    <w:abstractNumId w:val="16"/>
  </w:num>
  <w:num w:numId="25" w16cid:durableId="306015178">
    <w:abstractNumId w:val="6"/>
  </w:num>
  <w:num w:numId="26" w16cid:durableId="1634212057">
    <w:abstractNumId w:val="3"/>
  </w:num>
  <w:num w:numId="27" w16cid:durableId="2142335974">
    <w:abstractNumId w:val="15"/>
  </w:num>
  <w:num w:numId="28" w16cid:durableId="304508554">
    <w:abstractNumId w:val="14"/>
  </w:num>
  <w:num w:numId="29" w16cid:durableId="152763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AB"/>
    <w:rsid w:val="00003939"/>
    <w:rsid w:val="0001720C"/>
    <w:rsid w:val="00027C27"/>
    <w:rsid w:val="00086112"/>
    <w:rsid w:val="00096C4A"/>
    <w:rsid w:val="000C0CF4"/>
    <w:rsid w:val="000D657B"/>
    <w:rsid w:val="000E012D"/>
    <w:rsid w:val="000F6B00"/>
    <w:rsid w:val="0010253B"/>
    <w:rsid w:val="00106532"/>
    <w:rsid w:val="001147B7"/>
    <w:rsid w:val="00120D75"/>
    <w:rsid w:val="001770E7"/>
    <w:rsid w:val="00196CDD"/>
    <w:rsid w:val="0021226A"/>
    <w:rsid w:val="0022148A"/>
    <w:rsid w:val="0027612A"/>
    <w:rsid w:val="00281579"/>
    <w:rsid w:val="00293966"/>
    <w:rsid w:val="002A7B08"/>
    <w:rsid w:val="002B5FED"/>
    <w:rsid w:val="002F0401"/>
    <w:rsid w:val="002F6AE6"/>
    <w:rsid w:val="00300AC1"/>
    <w:rsid w:val="00306C61"/>
    <w:rsid w:val="00341824"/>
    <w:rsid w:val="003671AB"/>
    <w:rsid w:val="00373994"/>
    <w:rsid w:val="00374D4E"/>
    <w:rsid w:val="0037582B"/>
    <w:rsid w:val="0038203B"/>
    <w:rsid w:val="003A633B"/>
    <w:rsid w:val="003B34AA"/>
    <w:rsid w:val="003C54AC"/>
    <w:rsid w:val="003D60B5"/>
    <w:rsid w:val="0040352A"/>
    <w:rsid w:val="00415F5E"/>
    <w:rsid w:val="00426362"/>
    <w:rsid w:val="0043116B"/>
    <w:rsid w:val="00440AAC"/>
    <w:rsid w:val="00446795"/>
    <w:rsid w:val="004560EB"/>
    <w:rsid w:val="00463864"/>
    <w:rsid w:val="00474F3D"/>
    <w:rsid w:val="00480913"/>
    <w:rsid w:val="00487A65"/>
    <w:rsid w:val="00496F30"/>
    <w:rsid w:val="004A191F"/>
    <w:rsid w:val="004C35D6"/>
    <w:rsid w:val="004F2214"/>
    <w:rsid w:val="00510FD8"/>
    <w:rsid w:val="0052244A"/>
    <w:rsid w:val="005262B3"/>
    <w:rsid w:val="005432E7"/>
    <w:rsid w:val="005718E2"/>
    <w:rsid w:val="005A7A88"/>
    <w:rsid w:val="005B6428"/>
    <w:rsid w:val="005E4685"/>
    <w:rsid w:val="00621B32"/>
    <w:rsid w:val="0063533F"/>
    <w:rsid w:val="0065421C"/>
    <w:rsid w:val="0066643F"/>
    <w:rsid w:val="006A5ECB"/>
    <w:rsid w:val="006D0865"/>
    <w:rsid w:val="00700096"/>
    <w:rsid w:val="007177FC"/>
    <w:rsid w:val="007529E4"/>
    <w:rsid w:val="007535B9"/>
    <w:rsid w:val="00762850"/>
    <w:rsid w:val="007E438B"/>
    <w:rsid w:val="007F0033"/>
    <w:rsid w:val="007F339B"/>
    <w:rsid w:val="00801815"/>
    <w:rsid w:val="00826A29"/>
    <w:rsid w:val="00834697"/>
    <w:rsid w:val="00837C5D"/>
    <w:rsid w:val="00857548"/>
    <w:rsid w:val="008C7192"/>
    <w:rsid w:val="008D4DA8"/>
    <w:rsid w:val="008D53B8"/>
    <w:rsid w:val="008E6889"/>
    <w:rsid w:val="008F15D6"/>
    <w:rsid w:val="008F2484"/>
    <w:rsid w:val="009044DA"/>
    <w:rsid w:val="00933807"/>
    <w:rsid w:val="00946B6A"/>
    <w:rsid w:val="009471FE"/>
    <w:rsid w:val="00960640"/>
    <w:rsid w:val="009718EC"/>
    <w:rsid w:val="009957EE"/>
    <w:rsid w:val="009B7615"/>
    <w:rsid w:val="009C652B"/>
    <w:rsid w:val="009E75F9"/>
    <w:rsid w:val="00A35D51"/>
    <w:rsid w:val="00A96E4C"/>
    <w:rsid w:val="00AA4031"/>
    <w:rsid w:val="00AB1B73"/>
    <w:rsid w:val="00AB3E08"/>
    <w:rsid w:val="00AE5B38"/>
    <w:rsid w:val="00B02825"/>
    <w:rsid w:val="00B301B4"/>
    <w:rsid w:val="00B51BDC"/>
    <w:rsid w:val="00B561C0"/>
    <w:rsid w:val="00B773CE"/>
    <w:rsid w:val="00B914FB"/>
    <w:rsid w:val="00BC6190"/>
    <w:rsid w:val="00C0215E"/>
    <w:rsid w:val="00C23D9F"/>
    <w:rsid w:val="00C501EA"/>
    <w:rsid w:val="00C619EE"/>
    <w:rsid w:val="00C650FE"/>
    <w:rsid w:val="00C91823"/>
    <w:rsid w:val="00CA29CD"/>
    <w:rsid w:val="00CD25D5"/>
    <w:rsid w:val="00CE5BA3"/>
    <w:rsid w:val="00D000E4"/>
    <w:rsid w:val="00D008AB"/>
    <w:rsid w:val="00D509DF"/>
    <w:rsid w:val="00D735C0"/>
    <w:rsid w:val="00D914B7"/>
    <w:rsid w:val="00DA7FCA"/>
    <w:rsid w:val="00DB4E30"/>
    <w:rsid w:val="00DD1E4B"/>
    <w:rsid w:val="00DD784B"/>
    <w:rsid w:val="00DF4144"/>
    <w:rsid w:val="00E624EF"/>
    <w:rsid w:val="00E74FE5"/>
    <w:rsid w:val="00E8423C"/>
    <w:rsid w:val="00EA2026"/>
    <w:rsid w:val="00EA5046"/>
    <w:rsid w:val="00EA560F"/>
    <w:rsid w:val="00EC19B0"/>
    <w:rsid w:val="00EF1ED6"/>
    <w:rsid w:val="00F0070A"/>
    <w:rsid w:val="00F34327"/>
    <w:rsid w:val="00F55702"/>
    <w:rsid w:val="00F567B0"/>
    <w:rsid w:val="00F670E1"/>
    <w:rsid w:val="00F72115"/>
    <w:rsid w:val="00F80545"/>
    <w:rsid w:val="00F956B3"/>
    <w:rsid w:val="00FA2696"/>
    <w:rsid w:val="00FA3DFE"/>
    <w:rsid w:val="00FA4BC1"/>
    <w:rsid w:val="00FB0E4C"/>
    <w:rsid w:val="00FB5B39"/>
    <w:rsid w:val="00FC0C6F"/>
    <w:rsid w:val="00FC22DE"/>
    <w:rsid w:val="00FD3511"/>
    <w:rsid w:val="00FD3E0D"/>
    <w:rsid w:val="00FE1045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9CB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01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671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1"/>
      </w:numPr>
      <w:tabs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AB"/>
    <w:rPr>
      <w:rFonts w:eastAsiaTheme="majorEastAsia" w:cstheme="majorBidi"/>
      <w:i/>
      <w:iCs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AB"/>
    <w:rPr>
      <w:rFonts w:eastAsiaTheme="majorEastAsia" w:cstheme="majorBidi"/>
      <w:color w:val="2F5496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AB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AB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AB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AB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671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67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1AB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67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1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AB"/>
    <w:rPr>
      <w:rFonts w:ascii="Arial" w:hAnsi="Arial" w:cs="Times New Roman"/>
      <w:i/>
      <w:iCs/>
      <w:color w:val="2F5496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671A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71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FF4B23335F7489821F9E19D352FA2" ma:contentTypeVersion="18" ma:contentTypeDescription="Create a new document." ma:contentTypeScope="" ma:versionID="e4fc57c5018392932586845dd813d7ca">
  <xsd:schema xmlns:xsd="http://www.w3.org/2001/XMLSchema" xmlns:xs="http://www.w3.org/2001/XMLSchema" xmlns:p="http://schemas.microsoft.com/office/2006/metadata/properties" xmlns:ns2="40f60177-1d5c-41bb-86be-64a2d939cfa7" xmlns:ns3="e253c5a1-5864-4e1f-9a56-7962535f188a" targetNamespace="http://schemas.microsoft.com/office/2006/metadata/properties" ma:root="true" ma:fieldsID="d2216967dce3eb2e81362f119a2a6871" ns2:_="" ns3:_="">
    <xsd:import namespace="40f60177-1d5c-41bb-86be-64a2d939cfa7"/>
    <xsd:import namespace="e253c5a1-5864-4e1f-9a56-7962535f1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Tobeincluded_x002f_updated" minOccurs="0"/>
                <xsd:element ref="ns2:Dateforcomple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60177-1d5c-41bb-86be-64a2d939c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beincluded_x002f_updated" ma:index="24" nillable="true" ma:displayName="To be included/updated" ma:default="1" ma:format="Dropdown" ma:internalName="Tobeincluded_x002f_updated">
      <xsd:simpleType>
        <xsd:restriction base="dms:Boolean"/>
      </xsd:simpleType>
    </xsd:element>
    <xsd:element name="Dateforcompletion" ma:index="25" nillable="true" ma:displayName="Date for completion" ma:format="DateOnly" ma:internalName="Dateforcompleti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c5a1-5864-4e1f-9a56-7962535f1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f3ccb37-4810-40ca-9d12-1d7e0a17572f}" ma:internalName="TaxCatchAll" ma:showField="CatchAllData" ma:web="e253c5a1-5864-4e1f-9a56-7962535f1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53c5a1-5864-4e1f-9a56-7962535f188a" xsi:nil="true"/>
    <Dateforcompletion xmlns="40f60177-1d5c-41bb-86be-64a2d939cfa7" xsi:nil="true"/>
    <Tobeincluded_x002f_updated xmlns="40f60177-1d5c-41bb-86be-64a2d939cfa7">true</Tobeincluded_x002f_updated>
    <lcf76f155ced4ddcb4097134ff3c332f xmlns="40f60177-1d5c-41bb-86be-64a2d939cf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0284D5-E2CE-4AD5-BC8C-1B68F0098E9E}"/>
</file>

<file path=customXml/itemProps2.xml><?xml version="1.0" encoding="utf-8"?>
<ds:datastoreItem xmlns:ds="http://schemas.openxmlformats.org/officeDocument/2006/customXml" ds:itemID="{5235B4BF-8600-4006-B560-F2F83DC6D8A4}"/>
</file>

<file path=customXml/itemProps3.xml><?xml version="1.0" encoding="utf-8"?>
<ds:datastoreItem xmlns:ds="http://schemas.openxmlformats.org/officeDocument/2006/customXml" ds:itemID="{6FE001AD-F269-456E-A513-2C909EF56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4000</Characters>
  <Application>Microsoft Office Word</Application>
  <DocSecurity>0</DocSecurity>
  <Lines>105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2025-12-03T09:40:00Z</dcterms:created>
  <dcterms:modified xsi:type="dcterms:W3CDTF">2025-12-03T09:40:00Z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0x010100154FF4B23335F7489821F9E19D352FA2</vt:lpwstr>
  </property>
</Properties>
</file>