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E0C27" w14:textId="77777777" w:rsidR="00605D55" w:rsidRDefault="00605D55" w:rsidP="00D22CB4">
      <w:pPr>
        <w:tabs>
          <w:tab w:val="left" w:pos="6687"/>
        </w:tabs>
        <w:rPr>
          <w:b/>
          <w:bCs/>
        </w:rPr>
      </w:pPr>
      <w:bookmarkStart w:id="0" w:name="_wddmeufpav6g"/>
      <w:bookmarkEnd w:id="0"/>
    </w:p>
    <w:p w14:paraId="225B8B26" w14:textId="607FFBDC" w:rsidR="00840BFA" w:rsidRDefault="00840BFA" w:rsidP="00D22CB4">
      <w:pPr>
        <w:tabs>
          <w:tab w:val="left" w:pos="6687"/>
        </w:tabs>
        <w:rPr>
          <w:b/>
          <w:bCs/>
        </w:rPr>
      </w:pPr>
      <w:r w:rsidRPr="00840BFA">
        <w:rPr>
          <w:b/>
          <w:bCs/>
        </w:rPr>
        <w:t>Emerging Practice Example: The Connect Hub</w:t>
      </w:r>
    </w:p>
    <w:p w14:paraId="71EB0732" w14:textId="77777777" w:rsidR="00605D55" w:rsidRPr="00840BFA" w:rsidRDefault="00605D55" w:rsidP="00D22CB4">
      <w:pPr>
        <w:tabs>
          <w:tab w:val="left" w:pos="6687"/>
        </w:tabs>
        <w:rPr>
          <w:b/>
          <w:bCs/>
        </w:rPr>
      </w:pPr>
    </w:p>
    <w:p w14:paraId="2CF5E376" w14:textId="77777777" w:rsidR="00840BFA" w:rsidRDefault="00840BFA" w:rsidP="00840BFA">
      <w:pPr>
        <w:tabs>
          <w:tab w:val="left" w:pos="6687"/>
        </w:tabs>
      </w:pPr>
      <w:r w:rsidRPr="00840BFA">
        <w:rPr>
          <w:b/>
          <w:bCs/>
        </w:rPr>
        <w:t>Organisation:</w:t>
      </w:r>
      <w:r w:rsidRPr="00840BFA">
        <w:t xml:space="preserve"> Simon Community Scotland - Connect Hub</w:t>
      </w:r>
      <w:r w:rsidRPr="00840BFA">
        <w:br/>
      </w:r>
      <w:r w:rsidRPr="00840BFA">
        <w:br/>
      </w:r>
      <w:r w:rsidRPr="00840BFA">
        <w:rPr>
          <w:b/>
          <w:bCs/>
        </w:rPr>
        <w:t>Key Rights Applied:</w:t>
      </w:r>
      <w:r w:rsidRPr="00840BFA">
        <w:rPr>
          <w:b/>
          <w:bCs/>
        </w:rPr>
        <w:br/>
      </w:r>
      <w:r w:rsidRPr="00840BFA">
        <w:t>Right to the highest attainable standard of physical and mental health;</w:t>
      </w:r>
      <w:r w:rsidRPr="00840BFA">
        <w:br/>
        <w:t>Right to an adequate standard of living</w:t>
      </w:r>
      <w:r w:rsidRPr="00840BFA">
        <w:br/>
        <w:t>Right to private and family life.</w:t>
      </w:r>
    </w:p>
    <w:p w14:paraId="36647078" w14:textId="77777777" w:rsidR="00D22CB4" w:rsidRPr="00840BFA" w:rsidRDefault="00D22CB4" w:rsidP="00840BFA">
      <w:pPr>
        <w:tabs>
          <w:tab w:val="left" w:pos="6687"/>
        </w:tabs>
      </w:pPr>
    </w:p>
    <w:p w14:paraId="7023E840" w14:textId="77777777" w:rsidR="00840BFA" w:rsidRPr="00840BFA" w:rsidRDefault="00840BFA" w:rsidP="00D22CB4">
      <w:pPr>
        <w:tabs>
          <w:tab w:val="left" w:pos="6687"/>
        </w:tabs>
        <w:rPr>
          <w:b/>
          <w:bCs/>
        </w:rPr>
      </w:pPr>
      <w:bookmarkStart w:id="1" w:name="_v8gi7nq2n06d"/>
      <w:bookmarkEnd w:id="1"/>
      <w:r w:rsidRPr="00840BFA">
        <w:rPr>
          <w:b/>
          <w:bCs/>
        </w:rPr>
        <w:t>Background &amp; Context</w:t>
      </w:r>
    </w:p>
    <w:p w14:paraId="2C91DCE8" w14:textId="77777777" w:rsidR="00840BFA" w:rsidRPr="00840BFA" w:rsidRDefault="00840BFA" w:rsidP="00840BFA">
      <w:pPr>
        <w:tabs>
          <w:tab w:val="left" w:pos="6687"/>
        </w:tabs>
      </w:pPr>
      <w:r w:rsidRPr="00840BFA">
        <w:t>The Connect Hub was co-produced alongside women with lived and living experience of homelessness. Their voices shaped every aspect of the space, from the colours on the walls to the model of practice and support offered.</w:t>
      </w:r>
    </w:p>
    <w:p w14:paraId="72D47B48" w14:textId="34423A09" w:rsidR="00840BFA" w:rsidRDefault="00840BFA" w:rsidP="00840BFA">
      <w:pPr>
        <w:tabs>
          <w:tab w:val="left" w:pos="6687"/>
        </w:tabs>
      </w:pPr>
      <w:r>
        <w:t>Women identified a need for a gendered, safe, relational environment where they could access support without judgement or expectation. The Hub responds to gendered barriers in mainstream services and embeds a human rights</w:t>
      </w:r>
      <w:r w:rsidR="0184D409">
        <w:t>-</w:t>
      </w:r>
      <w:r>
        <w:t>based approach consistent with the National Collaborative Charter of Rights.</w:t>
      </w:r>
    </w:p>
    <w:p w14:paraId="714789DA" w14:textId="77777777" w:rsidR="00D22CB4" w:rsidRPr="00840BFA" w:rsidRDefault="00D22CB4" w:rsidP="00840BFA">
      <w:pPr>
        <w:tabs>
          <w:tab w:val="left" w:pos="6687"/>
        </w:tabs>
      </w:pPr>
    </w:p>
    <w:p w14:paraId="5C8A728A" w14:textId="77777777" w:rsidR="00840BFA" w:rsidRPr="00840BFA" w:rsidRDefault="00840BFA" w:rsidP="00D22CB4">
      <w:pPr>
        <w:tabs>
          <w:tab w:val="left" w:pos="6687"/>
        </w:tabs>
        <w:rPr>
          <w:b/>
          <w:bCs/>
        </w:rPr>
      </w:pPr>
      <w:bookmarkStart w:id="2" w:name="_tx32rr7waleo"/>
      <w:bookmarkEnd w:id="2"/>
      <w:r w:rsidRPr="00840BFA">
        <w:rPr>
          <w:b/>
          <w:bCs/>
        </w:rPr>
        <w:t>Use of the Charter of Rights and Toolkit</w:t>
      </w:r>
    </w:p>
    <w:p w14:paraId="4658FBDD" w14:textId="77777777" w:rsidR="00840BFA" w:rsidRPr="00840BFA" w:rsidRDefault="00840BFA" w:rsidP="00840BFA">
      <w:pPr>
        <w:tabs>
          <w:tab w:val="left" w:pos="6687"/>
        </w:tabs>
      </w:pPr>
      <w:r>
        <w:t xml:space="preserve">The team applied key principles from the FAIR model and the </w:t>
      </w:r>
      <w:proofErr w:type="spellStart"/>
      <w:r>
        <w:t>AAAQ</w:t>
      </w:r>
      <w:proofErr w:type="spellEnd"/>
      <w:r>
        <w:t xml:space="preserve"> framework, ensuring services are Available, Accessible, Acceptable and of Quality.</w:t>
      </w:r>
      <w:r>
        <w:br/>
      </w:r>
      <w:r>
        <w:br/>
        <w:t>Coproduction ensured participation and empowerment, with the Hub continually adapted in response to the women’s experiences.</w:t>
      </w:r>
    </w:p>
    <w:p w14:paraId="1B03ADB5" w14:textId="07707F04" w:rsidR="15DF1B25" w:rsidRDefault="15DF1B25" w:rsidP="15DF1B25">
      <w:pPr>
        <w:tabs>
          <w:tab w:val="left" w:pos="6687"/>
        </w:tabs>
        <w:rPr>
          <w:b/>
          <w:bCs/>
        </w:rPr>
      </w:pPr>
    </w:p>
    <w:p w14:paraId="5EC31E0E" w14:textId="77777777" w:rsidR="00840BFA" w:rsidRPr="00840BFA" w:rsidRDefault="00840BFA" w:rsidP="00840BFA">
      <w:pPr>
        <w:tabs>
          <w:tab w:val="left" w:pos="6687"/>
        </w:tabs>
        <w:rPr>
          <w:b/>
          <w:bCs/>
        </w:rPr>
      </w:pPr>
      <w:r w:rsidRPr="00840BFA">
        <w:rPr>
          <w:b/>
          <w:bCs/>
        </w:rPr>
        <w:t>Results to Date</w:t>
      </w:r>
    </w:p>
    <w:p w14:paraId="27FF16CD" w14:textId="77777777" w:rsidR="00605D55" w:rsidRDefault="00605D55" w:rsidP="00840BFA">
      <w:pPr>
        <w:tabs>
          <w:tab w:val="left" w:pos="6687"/>
        </w:tabs>
      </w:pPr>
    </w:p>
    <w:p w14:paraId="7E64F7F1" w14:textId="07502098" w:rsidR="00840BFA" w:rsidRPr="00840BFA" w:rsidRDefault="00840BFA" w:rsidP="00840BFA">
      <w:pPr>
        <w:tabs>
          <w:tab w:val="left" w:pos="6687"/>
        </w:tabs>
      </w:pPr>
      <w:r>
        <w:t>Over its first operational year, the Connect Hub has provided:</w:t>
      </w:r>
    </w:p>
    <w:p w14:paraId="736C6991" w14:textId="12162920" w:rsidR="15DF1B25" w:rsidRDefault="15DF1B25" w:rsidP="15DF1B25">
      <w:pPr>
        <w:tabs>
          <w:tab w:val="left" w:pos="6687"/>
        </w:tabs>
      </w:pPr>
    </w:p>
    <w:p w14:paraId="0288D83C" w14:textId="77777777" w:rsidR="00840BFA" w:rsidRPr="00840BFA" w:rsidRDefault="00840BFA" w:rsidP="00840BFA">
      <w:pPr>
        <w:numPr>
          <w:ilvl w:val="0"/>
          <w:numId w:val="24"/>
        </w:numPr>
        <w:tabs>
          <w:tab w:val="left" w:pos="6687"/>
        </w:tabs>
      </w:pPr>
      <w:r w:rsidRPr="00840BFA">
        <w:rPr>
          <w:b/>
          <w:bCs/>
        </w:rPr>
        <w:t>1,850 visits</w:t>
      </w:r>
      <w:r w:rsidRPr="00840BFA">
        <w:t xml:space="preserve"> and </w:t>
      </w:r>
      <w:r w:rsidRPr="00840BFA">
        <w:rPr>
          <w:b/>
          <w:bCs/>
        </w:rPr>
        <w:t>5,390 support interventions</w:t>
      </w:r>
      <w:r w:rsidRPr="00840BFA">
        <w:br/>
      </w:r>
    </w:p>
    <w:p w14:paraId="56DC16B0" w14:textId="77777777" w:rsidR="00840BFA" w:rsidRPr="00840BFA" w:rsidRDefault="00840BFA" w:rsidP="00840BFA">
      <w:pPr>
        <w:numPr>
          <w:ilvl w:val="0"/>
          <w:numId w:val="24"/>
        </w:numPr>
        <w:tabs>
          <w:tab w:val="left" w:pos="6687"/>
        </w:tabs>
      </w:pPr>
      <w:r w:rsidRPr="00840BFA">
        <w:rPr>
          <w:b/>
          <w:bCs/>
        </w:rPr>
        <w:t>248 unique women supported</w:t>
      </w:r>
      <w:r w:rsidRPr="00840BFA">
        <w:rPr>
          <w:b/>
          <w:bCs/>
        </w:rPr>
        <w:br/>
      </w:r>
    </w:p>
    <w:p w14:paraId="545F542D" w14:textId="77777777" w:rsidR="00840BFA" w:rsidRPr="00840BFA" w:rsidRDefault="00840BFA" w:rsidP="00840BFA">
      <w:pPr>
        <w:numPr>
          <w:ilvl w:val="0"/>
          <w:numId w:val="24"/>
        </w:numPr>
        <w:tabs>
          <w:tab w:val="left" w:pos="6687"/>
        </w:tabs>
      </w:pPr>
      <w:r w:rsidRPr="00840BFA">
        <w:rPr>
          <w:b/>
          <w:bCs/>
        </w:rPr>
        <w:t>393 toiletry packs</w:t>
      </w:r>
      <w:r w:rsidRPr="00840BFA">
        <w:t xml:space="preserve">, </w:t>
      </w:r>
      <w:r w:rsidRPr="00840BFA">
        <w:rPr>
          <w:b/>
          <w:bCs/>
        </w:rPr>
        <w:t>547 clothing essentials</w:t>
      </w:r>
      <w:r w:rsidRPr="00840BFA">
        <w:t xml:space="preserve">, </w:t>
      </w:r>
      <w:r w:rsidRPr="00840BFA">
        <w:rPr>
          <w:b/>
          <w:bCs/>
        </w:rPr>
        <w:t>1,008 community meals</w:t>
      </w:r>
      <w:r w:rsidRPr="00840BFA">
        <w:t xml:space="preserve">, </w:t>
      </w:r>
      <w:r w:rsidRPr="00840BFA">
        <w:rPr>
          <w:b/>
          <w:bCs/>
        </w:rPr>
        <w:t>143 food parcels</w:t>
      </w:r>
      <w:r w:rsidRPr="00840BFA">
        <w:br/>
      </w:r>
    </w:p>
    <w:p w14:paraId="682D24F3" w14:textId="77777777" w:rsidR="00840BFA" w:rsidRPr="00840BFA" w:rsidRDefault="00840BFA" w:rsidP="00840BFA">
      <w:pPr>
        <w:numPr>
          <w:ilvl w:val="0"/>
          <w:numId w:val="24"/>
        </w:numPr>
        <w:tabs>
          <w:tab w:val="left" w:pos="6687"/>
        </w:tabs>
      </w:pPr>
      <w:r w:rsidRPr="00840BFA">
        <w:rPr>
          <w:b/>
          <w:bCs/>
        </w:rPr>
        <w:t>207 housing-related supports</w:t>
      </w:r>
      <w:r w:rsidRPr="00840BFA">
        <w:t xml:space="preserve"> and </w:t>
      </w:r>
      <w:r w:rsidRPr="00840BFA">
        <w:rPr>
          <w:b/>
          <w:bCs/>
        </w:rPr>
        <w:t>90 emergency accommodation referrals</w:t>
      </w:r>
      <w:r w:rsidRPr="00840BFA">
        <w:br/>
      </w:r>
    </w:p>
    <w:p w14:paraId="26EF7FFB" w14:textId="77777777" w:rsidR="00840BFA" w:rsidRPr="00840BFA" w:rsidRDefault="00840BFA" w:rsidP="00840BFA">
      <w:pPr>
        <w:numPr>
          <w:ilvl w:val="0"/>
          <w:numId w:val="24"/>
        </w:numPr>
        <w:tabs>
          <w:tab w:val="left" w:pos="6687"/>
        </w:tabs>
      </w:pPr>
      <w:r w:rsidRPr="00840BFA">
        <w:t>Support for women to move from homelessness into permanent or supported accommodation</w:t>
      </w:r>
      <w:r w:rsidRPr="00840BFA">
        <w:br/>
      </w:r>
    </w:p>
    <w:p w14:paraId="4D0D83C5" w14:textId="77777777" w:rsidR="00840BFA" w:rsidRPr="00840BFA" w:rsidRDefault="00840BFA" w:rsidP="00840BFA">
      <w:pPr>
        <w:numPr>
          <w:ilvl w:val="0"/>
          <w:numId w:val="24"/>
        </w:numPr>
        <w:tabs>
          <w:tab w:val="left" w:pos="6687"/>
        </w:tabs>
      </w:pPr>
      <w:r w:rsidRPr="00840BFA">
        <w:t>Extensive healthcare access, including drop-in clinics and advocacy around MAT Standards</w:t>
      </w:r>
      <w:r w:rsidRPr="00840BFA">
        <w:br/>
      </w:r>
    </w:p>
    <w:p w14:paraId="1A84F044" w14:textId="77777777" w:rsidR="00840BFA" w:rsidRPr="00840BFA" w:rsidRDefault="00840BFA" w:rsidP="00840BFA">
      <w:pPr>
        <w:tabs>
          <w:tab w:val="left" w:pos="6687"/>
        </w:tabs>
      </w:pPr>
      <w:r w:rsidRPr="00840BFA">
        <w:t>Women consistently describe the Hub as a lifeline, a safe space, and somewhere they “</w:t>
      </w:r>
      <w:r w:rsidRPr="00840BFA">
        <w:rPr>
          <w:b/>
          <w:bCs/>
        </w:rPr>
        <w:t>feel wanted</w:t>
      </w:r>
      <w:r w:rsidRPr="00840BFA">
        <w:t>” and “</w:t>
      </w:r>
      <w:r w:rsidRPr="00840BFA">
        <w:rPr>
          <w:b/>
          <w:bCs/>
        </w:rPr>
        <w:t>finally get the help and support you need</w:t>
      </w:r>
      <w:r w:rsidRPr="00840BFA">
        <w:t xml:space="preserve">” </w:t>
      </w:r>
    </w:p>
    <w:p w14:paraId="56F32FBA" w14:textId="77777777" w:rsidR="00605D55" w:rsidRDefault="00605D55" w:rsidP="00840BFA">
      <w:pPr>
        <w:tabs>
          <w:tab w:val="left" w:pos="6687"/>
        </w:tabs>
        <w:rPr>
          <w:b/>
          <w:bCs/>
        </w:rPr>
      </w:pPr>
    </w:p>
    <w:p w14:paraId="66762D7E" w14:textId="77777777" w:rsidR="00605D55" w:rsidRDefault="00605D55" w:rsidP="00840BFA">
      <w:pPr>
        <w:tabs>
          <w:tab w:val="left" w:pos="6687"/>
        </w:tabs>
        <w:rPr>
          <w:b/>
          <w:bCs/>
        </w:rPr>
      </w:pPr>
    </w:p>
    <w:p w14:paraId="738D1AF5" w14:textId="77777777" w:rsidR="00605D55" w:rsidRDefault="00605D55" w:rsidP="00840BFA">
      <w:pPr>
        <w:tabs>
          <w:tab w:val="left" w:pos="6687"/>
        </w:tabs>
        <w:rPr>
          <w:b/>
          <w:bCs/>
        </w:rPr>
      </w:pPr>
    </w:p>
    <w:p w14:paraId="7902100E" w14:textId="61397011" w:rsidR="00840BFA" w:rsidRDefault="00840BFA" w:rsidP="00840BFA">
      <w:pPr>
        <w:tabs>
          <w:tab w:val="left" w:pos="6687"/>
        </w:tabs>
        <w:rPr>
          <w:b/>
          <w:bCs/>
        </w:rPr>
      </w:pPr>
      <w:r w:rsidRPr="00840BFA">
        <w:rPr>
          <w:b/>
          <w:bCs/>
        </w:rPr>
        <w:t>Lessons Learned</w:t>
      </w:r>
    </w:p>
    <w:p w14:paraId="5F0D846E" w14:textId="77777777" w:rsidR="00D22CB4" w:rsidRPr="00840BFA" w:rsidRDefault="00D22CB4" w:rsidP="00840BFA">
      <w:pPr>
        <w:tabs>
          <w:tab w:val="left" w:pos="6687"/>
        </w:tabs>
        <w:rPr>
          <w:b/>
          <w:bCs/>
        </w:rPr>
      </w:pPr>
    </w:p>
    <w:p w14:paraId="5F2EE17E" w14:textId="77777777" w:rsidR="00840BFA" w:rsidRDefault="00840BFA" w:rsidP="00840BFA">
      <w:pPr>
        <w:numPr>
          <w:ilvl w:val="0"/>
          <w:numId w:val="25"/>
        </w:numPr>
        <w:tabs>
          <w:tab w:val="left" w:pos="6687"/>
        </w:tabs>
      </w:pPr>
      <w:r w:rsidRPr="00840BFA">
        <w:t>Coproduction creates spaces that women genuinely trust and use.</w:t>
      </w:r>
    </w:p>
    <w:p w14:paraId="690BDD6D" w14:textId="77777777" w:rsidR="00D22CB4" w:rsidRPr="00840BFA" w:rsidRDefault="00D22CB4" w:rsidP="00D22CB4">
      <w:pPr>
        <w:tabs>
          <w:tab w:val="left" w:pos="6687"/>
        </w:tabs>
        <w:ind w:left="720"/>
      </w:pPr>
    </w:p>
    <w:p w14:paraId="248D9B15" w14:textId="77777777" w:rsidR="00840BFA" w:rsidRDefault="00840BFA" w:rsidP="00840BFA">
      <w:pPr>
        <w:numPr>
          <w:ilvl w:val="0"/>
          <w:numId w:val="25"/>
        </w:numPr>
        <w:tabs>
          <w:tab w:val="left" w:pos="6687"/>
        </w:tabs>
      </w:pPr>
      <w:r w:rsidRPr="00840BFA">
        <w:t>A human-rights based approach must be practical - meeting basic needs, reducing barriers, and supporting dignity.</w:t>
      </w:r>
    </w:p>
    <w:p w14:paraId="6ABAC061" w14:textId="77777777" w:rsidR="00D22CB4" w:rsidRPr="00840BFA" w:rsidRDefault="00D22CB4" w:rsidP="00D22CB4">
      <w:pPr>
        <w:tabs>
          <w:tab w:val="left" w:pos="6687"/>
        </w:tabs>
        <w:ind w:left="720"/>
      </w:pPr>
    </w:p>
    <w:p w14:paraId="67833537" w14:textId="77777777" w:rsidR="00840BFA" w:rsidRPr="00840BFA" w:rsidRDefault="00840BFA" w:rsidP="00840BFA">
      <w:pPr>
        <w:numPr>
          <w:ilvl w:val="0"/>
          <w:numId w:val="25"/>
        </w:numPr>
        <w:tabs>
          <w:tab w:val="left" w:pos="6687"/>
        </w:tabs>
      </w:pPr>
      <w:r w:rsidRPr="00840BFA">
        <w:t>Gender responsive environments are essential; without them, many women struggle to engage from mainstream services.</w:t>
      </w:r>
    </w:p>
    <w:p w14:paraId="381D44FB" w14:textId="77777777" w:rsidR="00D22CB4" w:rsidRDefault="00D22CB4" w:rsidP="00840BFA">
      <w:pPr>
        <w:tabs>
          <w:tab w:val="left" w:pos="6687"/>
        </w:tabs>
        <w:rPr>
          <w:b/>
          <w:bCs/>
        </w:rPr>
      </w:pPr>
    </w:p>
    <w:p w14:paraId="2F9D6EDA" w14:textId="6080612F" w:rsidR="00840BFA" w:rsidRDefault="00840BFA" w:rsidP="00840BFA">
      <w:pPr>
        <w:tabs>
          <w:tab w:val="left" w:pos="6687"/>
        </w:tabs>
        <w:rPr>
          <w:b/>
          <w:bCs/>
        </w:rPr>
      </w:pPr>
      <w:r w:rsidRPr="00840BFA">
        <w:rPr>
          <w:b/>
          <w:bCs/>
        </w:rPr>
        <w:t>Recommendations for Others</w:t>
      </w:r>
    </w:p>
    <w:p w14:paraId="12566A52" w14:textId="77777777" w:rsidR="00605D55" w:rsidRPr="00840BFA" w:rsidRDefault="00605D55" w:rsidP="00840BFA">
      <w:pPr>
        <w:tabs>
          <w:tab w:val="left" w:pos="6687"/>
        </w:tabs>
        <w:rPr>
          <w:b/>
          <w:bCs/>
        </w:rPr>
      </w:pPr>
    </w:p>
    <w:p w14:paraId="45B25BF0" w14:textId="77777777" w:rsidR="00840BFA" w:rsidRPr="00840BFA" w:rsidRDefault="00840BFA" w:rsidP="00840BFA">
      <w:pPr>
        <w:numPr>
          <w:ilvl w:val="0"/>
          <w:numId w:val="26"/>
        </w:numPr>
        <w:tabs>
          <w:tab w:val="left" w:pos="6687"/>
        </w:tabs>
      </w:pPr>
      <w:r w:rsidRPr="00840BFA">
        <w:rPr>
          <w:b/>
          <w:bCs/>
        </w:rPr>
        <w:t>Start with lived and living experience</w:t>
      </w:r>
      <w:r w:rsidRPr="00840BFA">
        <w:t>: co-design every stage.</w:t>
      </w:r>
      <w:r w:rsidRPr="00840BFA">
        <w:br/>
      </w:r>
    </w:p>
    <w:p w14:paraId="667DEF9C" w14:textId="77777777" w:rsidR="00840BFA" w:rsidRPr="00840BFA" w:rsidRDefault="00840BFA" w:rsidP="00840BFA">
      <w:pPr>
        <w:numPr>
          <w:ilvl w:val="0"/>
          <w:numId w:val="26"/>
        </w:numPr>
        <w:tabs>
          <w:tab w:val="left" w:pos="6687"/>
        </w:tabs>
      </w:pPr>
      <w:r w:rsidRPr="00840BFA">
        <w:t xml:space="preserve">Apply </w:t>
      </w:r>
      <w:r w:rsidRPr="00840BFA">
        <w:rPr>
          <w:b/>
          <w:bCs/>
        </w:rPr>
        <w:t>FAIR</w:t>
      </w:r>
      <w:r w:rsidRPr="00840BFA">
        <w:t xml:space="preserve"> and </w:t>
      </w:r>
      <w:proofErr w:type="spellStart"/>
      <w:r w:rsidRPr="00840BFA">
        <w:rPr>
          <w:b/>
          <w:bCs/>
        </w:rPr>
        <w:t>AAAQ</w:t>
      </w:r>
      <w:proofErr w:type="spellEnd"/>
      <w:r w:rsidRPr="00840BFA">
        <w:t xml:space="preserve"> early, keep the approach simple and grounded in what people say they need.</w:t>
      </w:r>
      <w:r w:rsidRPr="00840BFA">
        <w:br/>
      </w:r>
    </w:p>
    <w:p w14:paraId="085E2352" w14:textId="77777777" w:rsidR="00840BFA" w:rsidRPr="00840BFA" w:rsidRDefault="00840BFA" w:rsidP="00840BFA">
      <w:pPr>
        <w:numPr>
          <w:ilvl w:val="0"/>
          <w:numId w:val="26"/>
        </w:numPr>
        <w:tabs>
          <w:tab w:val="left" w:pos="6687"/>
        </w:tabs>
      </w:pPr>
      <w:r w:rsidRPr="00840BFA">
        <w:t xml:space="preserve">Create </w:t>
      </w:r>
      <w:r w:rsidRPr="00840BFA">
        <w:rPr>
          <w:b/>
          <w:bCs/>
        </w:rPr>
        <w:t>non-transactional, gender-sensitive spaces</w:t>
      </w:r>
      <w:r w:rsidRPr="00840BFA">
        <w:t xml:space="preserve"> where women can connect without pressure.</w:t>
      </w:r>
      <w:r w:rsidRPr="00840BFA">
        <w:br/>
      </w:r>
    </w:p>
    <w:p w14:paraId="1E7DA6A1" w14:textId="77777777" w:rsidR="00840BFA" w:rsidRPr="00840BFA" w:rsidRDefault="00840BFA" w:rsidP="00840BFA">
      <w:pPr>
        <w:numPr>
          <w:ilvl w:val="0"/>
          <w:numId w:val="26"/>
        </w:numPr>
        <w:tabs>
          <w:tab w:val="left" w:pos="6687"/>
        </w:tabs>
      </w:pPr>
      <w:r w:rsidRPr="00840BFA">
        <w:t>Embed rights-based practice across all partners involved in homelessness, health, and social care.</w:t>
      </w:r>
    </w:p>
    <w:p w14:paraId="556E3DE9" w14:textId="77777777" w:rsidR="00840BFA" w:rsidRPr="00840BFA" w:rsidRDefault="00840BFA" w:rsidP="00840BFA">
      <w:pPr>
        <w:tabs>
          <w:tab w:val="left" w:pos="6687"/>
        </w:tabs>
      </w:pPr>
    </w:p>
    <w:p w14:paraId="632643D0" w14:textId="3991D9FC" w:rsidR="00C7139C" w:rsidRPr="00C7139C" w:rsidRDefault="00C7139C" w:rsidP="00C7139C">
      <w:pPr>
        <w:tabs>
          <w:tab w:val="left" w:pos="6687"/>
        </w:tabs>
      </w:pPr>
    </w:p>
    <w:sectPr w:rsidR="00C7139C" w:rsidRPr="00C7139C" w:rsidSect="00B561C0">
      <w:headerReference w:type="default" r:id="rId10"/>
      <w:footerReference w:type="default" r:id="rId11"/>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F4F18" w14:textId="77777777" w:rsidR="00F7632D" w:rsidRDefault="00F7632D" w:rsidP="00EA560F">
      <w:r>
        <w:separator/>
      </w:r>
    </w:p>
  </w:endnote>
  <w:endnote w:type="continuationSeparator" w:id="0">
    <w:p w14:paraId="0084C254" w14:textId="77777777" w:rsidR="00F7632D" w:rsidRDefault="00F7632D" w:rsidP="00EA5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1B3B3" w14:textId="760392FB" w:rsidR="008D53B8" w:rsidRDefault="008D53B8">
    <w:pPr>
      <w:pStyle w:val="Footer"/>
    </w:pPr>
    <w:r w:rsidRPr="001E0B98">
      <w:rPr>
        <w:i/>
        <w:iCs/>
        <w:noProof/>
        <w:lang w:val="en-US"/>
      </w:rPr>
      <mc:AlternateContent>
        <mc:Choice Requires="wpg">
          <w:drawing>
            <wp:anchor distT="0" distB="0" distL="0" distR="0" simplePos="0" relativeHeight="251659264" behindDoc="0" locked="0" layoutInCell="1" allowOverlap="1" wp14:anchorId="3B6CC72C" wp14:editId="022A9B67">
              <wp:simplePos x="0" y="0"/>
              <wp:positionH relativeFrom="page">
                <wp:posOffset>9525</wp:posOffset>
              </wp:positionH>
              <wp:positionV relativeFrom="page">
                <wp:posOffset>10393045</wp:posOffset>
              </wp:positionV>
              <wp:extent cx="7559675" cy="279400"/>
              <wp:effectExtent l="0" t="0" r="3175" b="6350"/>
              <wp:wrapTopAndBottom/>
              <wp:docPr id="75763943" name="Group 5"/>
              <wp:cNvGraphicFramePr/>
              <a:graphic xmlns:a="http://schemas.openxmlformats.org/drawingml/2006/main">
                <a:graphicData uri="http://schemas.microsoft.com/office/word/2010/wordprocessingGroup">
                  <wpg:wgp>
                    <wpg:cNvGrpSpPr/>
                    <wpg:grpSpPr>
                      <a:xfrm>
                        <a:off x="0" y="0"/>
                        <a:ext cx="7559675" cy="279400"/>
                        <a:chOff x="0" y="0"/>
                        <a:chExt cx="7560424" cy="279400"/>
                      </a:xfrm>
                    </wpg:grpSpPr>
                    <wps:wsp>
                      <wps:cNvPr id="1694400173" name="Graphic 2"/>
                      <wps:cNvSpPr/>
                      <wps:spPr>
                        <a:xfrm>
                          <a:off x="6105004" y="0"/>
                          <a:ext cx="1455420" cy="279400"/>
                        </a:xfrm>
                        <a:custGeom>
                          <a:avLst/>
                          <a:gdLst/>
                          <a:ahLst/>
                          <a:cxnLst/>
                          <a:rect l="l" t="t" r="r" b="b"/>
                          <a:pathLst>
                            <a:path w="1455420" h="279400">
                              <a:moveTo>
                                <a:pt x="1454988" y="0"/>
                              </a:moveTo>
                              <a:lnTo>
                                <a:pt x="0" y="0"/>
                              </a:lnTo>
                              <a:lnTo>
                                <a:pt x="0" y="278993"/>
                              </a:lnTo>
                              <a:lnTo>
                                <a:pt x="1454988" y="278993"/>
                              </a:lnTo>
                              <a:lnTo>
                                <a:pt x="1454988" y="0"/>
                              </a:lnTo>
                              <a:close/>
                            </a:path>
                          </a:pathLst>
                        </a:custGeom>
                        <a:solidFill>
                          <a:srgbClr val="EF3F6A"/>
                        </a:solidFill>
                      </wps:spPr>
                      <wps:bodyPr wrap="square" lIns="0" tIns="0" rIns="0" bIns="0" rtlCol="0">
                        <a:prstTxWarp prst="textNoShape">
                          <a:avLst/>
                        </a:prstTxWarp>
                        <a:noAutofit/>
                      </wps:bodyPr>
                    </wps:wsp>
                    <wps:wsp>
                      <wps:cNvPr id="1487004079" name="Graphic 3"/>
                      <wps:cNvSpPr/>
                      <wps:spPr>
                        <a:xfrm>
                          <a:off x="4549800" y="0"/>
                          <a:ext cx="1555750" cy="279400"/>
                        </a:xfrm>
                        <a:custGeom>
                          <a:avLst/>
                          <a:gdLst/>
                          <a:ahLst/>
                          <a:cxnLst/>
                          <a:rect l="l" t="t" r="r" b="b"/>
                          <a:pathLst>
                            <a:path w="1555750" h="279400">
                              <a:moveTo>
                                <a:pt x="1555203" y="0"/>
                              </a:moveTo>
                              <a:lnTo>
                                <a:pt x="0" y="0"/>
                              </a:lnTo>
                              <a:lnTo>
                                <a:pt x="0" y="278993"/>
                              </a:lnTo>
                              <a:lnTo>
                                <a:pt x="1555203" y="278993"/>
                              </a:lnTo>
                              <a:lnTo>
                                <a:pt x="1555203" y="0"/>
                              </a:lnTo>
                              <a:close/>
                            </a:path>
                          </a:pathLst>
                        </a:custGeom>
                        <a:solidFill>
                          <a:srgbClr val="FEBE4D"/>
                        </a:solidFill>
                      </wps:spPr>
                      <wps:bodyPr wrap="square" lIns="0" tIns="0" rIns="0" bIns="0" rtlCol="0">
                        <a:prstTxWarp prst="textNoShape">
                          <a:avLst/>
                        </a:prstTxWarp>
                        <a:noAutofit/>
                      </wps:bodyPr>
                    </wps:wsp>
                    <wps:wsp>
                      <wps:cNvPr id="164542389" name="Graphic 4"/>
                      <wps:cNvSpPr/>
                      <wps:spPr>
                        <a:xfrm>
                          <a:off x="2994609" y="0"/>
                          <a:ext cx="1555750" cy="279400"/>
                        </a:xfrm>
                        <a:custGeom>
                          <a:avLst/>
                          <a:gdLst/>
                          <a:ahLst/>
                          <a:cxnLst/>
                          <a:rect l="l" t="t" r="r" b="b"/>
                          <a:pathLst>
                            <a:path w="1555750" h="279400">
                              <a:moveTo>
                                <a:pt x="1555203" y="0"/>
                              </a:moveTo>
                              <a:lnTo>
                                <a:pt x="0" y="0"/>
                              </a:lnTo>
                              <a:lnTo>
                                <a:pt x="0" y="278993"/>
                              </a:lnTo>
                              <a:lnTo>
                                <a:pt x="1555203" y="278993"/>
                              </a:lnTo>
                              <a:lnTo>
                                <a:pt x="1555203" y="0"/>
                              </a:lnTo>
                              <a:close/>
                            </a:path>
                          </a:pathLst>
                        </a:custGeom>
                        <a:solidFill>
                          <a:srgbClr val="74C8B1"/>
                        </a:solidFill>
                      </wps:spPr>
                      <wps:bodyPr wrap="square" lIns="0" tIns="0" rIns="0" bIns="0" rtlCol="0">
                        <a:prstTxWarp prst="textNoShape">
                          <a:avLst/>
                        </a:prstTxWarp>
                        <a:noAutofit/>
                      </wps:bodyPr>
                    </wps:wsp>
                    <wps:wsp>
                      <wps:cNvPr id="1244058307" name="Graphic 5"/>
                      <wps:cNvSpPr/>
                      <wps:spPr>
                        <a:xfrm>
                          <a:off x="1439405" y="0"/>
                          <a:ext cx="1555750" cy="279400"/>
                        </a:xfrm>
                        <a:custGeom>
                          <a:avLst/>
                          <a:gdLst/>
                          <a:ahLst/>
                          <a:cxnLst/>
                          <a:rect l="l" t="t" r="r" b="b"/>
                          <a:pathLst>
                            <a:path w="1555750" h="279400">
                              <a:moveTo>
                                <a:pt x="1555203" y="0"/>
                              </a:moveTo>
                              <a:lnTo>
                                <a:pt x="0" y="0"/>
                              </a:lnTo>
                              <a:lnTo>
                                <a:pt x="0" y="278993"/>
                              </a:lnTo>
                              <a:lnTo>
                                <a:pt x="1555203" y="278993"/>
                              </a:lnTo>
                              <a:lnTo>
                                <a:pt x="1555203" y="0"/>
                              </a:lnTo>
                              <a:close/>
                            </a:path>
                          </a:pathLst>
                        </a:custGeom>
                        <a:solidFill>
                          <a:srgbClr val="00AEEF"/>
                        </a:solidFill>
                      </wps:spPr>
                      <wps:bodyPr wrap="square" lIns="0" tIns="0" rIns="0" bIns="0" rtlCol="0">
                        <a:prstTxWarp prst="textNoShape">
                          <a:avLst/>
                        </a:prstTxWarp>
                        <a:noAutofit/>
                      </wps:bodyPr>
                    </wps:wsp>
                    <wps:wsp>
                      <wps:cNvPr id="354552387" name="Graphic 6"/>
                      <wps:cNvSpPr/>
                      <wps:spPr>
                        <a:xfrm>
                          <a:off x="0" y="0"/>
                          <a:ext cx="1439545" cy="279400"/>
                        </a:xfrm>
                        <a:custGeom>
                          <a:avLst/>
                          <a:gdLst/>
                          <a:ahLst/>
                          <a:cxnLst/>
                          <a:rect l="l" t="t" r="r" b="b"/>
                          <a:pathLst>
                            <a:path w="1439545" h="279400">
                              <a:moveTo>
                                <a:pt x="1439405" y="0"/>
                              </a:moveTo>
                              <a:lnTo>
                                <a:pt x="0" y="0"/>
                              </a:lnTo>
                              <a:lnTo>
                                <a:pt x="0" y="278993"/>
                              </a:lnTo>
                              <a:lnTo>
                                <a:pt x="1439405" y="278993"/>
                              </a:lnTo>
                              <a:lnTo>
                                <a:pt x="1439405" y="0"/>
                              </a:lnTo>
                              <a:close/>
                            </a:path>
                          </a:pathLst>
                        </a:custGeom>
                        <a:solidFill>
                          <a:srgbClr val="7B277D"/>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w:pict w14:anchorId="0FC33A76">
            <v:group id="Group 5" style="position:absolute;margin-left:.75pt;margin-top:818.35pt;width:595.25pt;height:22pt;z-index:251659264;mso-wrap-distance-left:0;mso-wrap-distance-right:0;mso-position-horizontal-relative:page;mso-position-vertical-relative:page" coordsize="75604,2794" o:spid="_x0000_s1026" w14:anchorId="015B43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c81eAMAAB8TAAAOAAAAZHJzL2Uyb0RvYy54bWzsWF1vmzAUfZ+0/2DxvkIIHwE1mfqRRJOm&#10;rlI77dkBE5AAe7YT0n+/axMTmlRq2qlVN+UFDL6+vvdwjn3x+ddNVaI14aKg9dganDkWInVC06Je&#10;jq2f97MvIwsJiesUl7QmY+uBCOvr5POn84bFxKU5LVPCETipRdywsZVLyWLbFklOKizOKCM1dGaU&#10;V1jCI1/aKccNeK9K23WcwG4oTxmnCREC3l63ndZE+88yksgfWSaIROXYgtikvnJ9XairPTnH8ZJj&#10;lhfJNgz8iigqXNQwaefqGkuMVrw4cFUVCaeCZvIsoZVNs6xIiM4Bshk4e9nMOV0xncsybpasgwmg&#10;3cPp1W6Tm/Wcszt2ywGJhi0BC/2kctlkvFJ3iBJtNGQPHWRkI1ECL0Pfj4LQt1ACfW4Yec4W0yQH&#10;4A+GJfm0Gxg4nuvtD7TNtPajYBoG9BA7BMTfIXCXY0Y0sCIGBG45KlJgbxB5EP8gHFqoxhWwdb4l&#10;hqt4omIA4w4rEQuA7QmggoHjOw6kdgjXwPN9zwUiPoaryxrHyUrIOaEaeLz+LmTL0NS0cG5ayaY2&#10;TQ48VwwvNcOlhYDh3ELA8EXLcIalGqeCVU3UQLYmlLz7cKq7omtyT7WhVJ8PzLxoBCo2yUCsO5uy&#10;7ttCXj0r02fuTPtrbdxwFEVDFRu4Mwbm3hr2J36huaZgz3FSUkHauVT2etIOEbDrYy5oWaSzoiwV&#10;BIIvF1clR2sM4E5nw1lwsY25ZwZMNVRQrQVNH4BQDVBnbInfK8yJhcpvNVBWLUCmwU1jYRpclldU&#10;L1MafS7k/eYX5gwxaI4tCZK7oYa5ODbkgPiVQWurRtb0YiVpVijm6NjaiLYPoKKWym8vJ28Uggyc&#10;MNqXk/7wR8tJExCWlY5bODarz8D3/dCHrg8gJxPKM3ICM9eBBaYnlPeRU2/iY+TUM38bOc2ml1Pv&#10;+iSnw23faHyrkG53AiG4w9GBmjyF4dFqcqPICxxwYgh4UtNuszt+c+rJ40OoKfSuRpeDk5qOVpML&#10;pZ4/Gjrh/ubkv0hOA28INS/Uvyc5KRk9LuH+XTk5zsV0OjvJ6Vg5DX34m4DN6UBNwYvU9HSRBxID&#10;9x+iyDOhPFPk7S8KUKO/T5HXm/iYbaln/jZFXnjphuH/UeTpAwk4hdF/j9sTI3XM03/W/1i7c63J&#10;HwAAAP//AwBQSwMEFAAGAAgAAAAhAA81Q1vhAAAADAEAAA8AAABkcnMvZG93bnJldi54bWxMj0FL&#10;w0AQhe+C/2EZwZvdpKVpjdmUUtRTEWwF8TbNTpPQ7G7IbpP03zs56Wl4M48338s2o2lET52vnVUQ&#10;zyIQZAuna1sq+Dq+Pa1B+IBWY+MsKbiRh01+f5dhqt1gP6k/hFJwiPUpKqhCaFMpfVGRQT9zLVm+&#10;nV1nMLDsSqk7HDjcNHIeRYk0WFv+UGFLu4qKy+FqFLwPOGwX8Wu/v5x3t5/j8uN7H5NSjw/j9gVE&#10;oDH8mWHCZ3TImenkrlZ70bBespFHskhWICZD/Dzndqdpt45WIPNM/i+R/wIAAP//AwBQSwECLQAU&#10;AAYACAAAACEAtoM4kv4AAADhAQAAEwAAAAAAAAAAAAAAAAAAAAAAW0NvbnRlbnRfVHlwZXNdLnht&#10;bFBLAQItABQABgAIAAAAIQA4/SH/1gAAAJQBAAALAAAAAAAAAAAAAAAAAC8BAABfcmVscy8ucmVs&#10;c1BLAQItABQABgAIAAAAIQDTVc81eAMAAB8TAAAOAAAAAAAAAAAAAAAAAC4CAABkcnMvZTJvRG9j&#10;LnhtbFBLAQItABQABgAIAAAAIQAPNUNb4QAAAAwBAAAPAAAAAAAAAAAAAAAAANIFAABkcnMvZG93&#10;bnJldi54bWxQSwUGAAAAAAQABADzAAAA4AYAAAAA&#10;">
              <v:shape id="Graphic 2" style="position:absolute;left:61050;width:14554;height:2794;visibility:visible;mso-wrap-style:square;v-text-anchor:top" coordsize="1455420,279400" o:spid="_x0000_s1027" fillcolor="#ef3f6a" stroked="f" path="m1454988,l,,,278993r1454988,l14549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C8yAAAAOMAAAAPAAAAZHJzL2Rvd25yZXYueG1sRE9LS8NA&#10;EL4L/Q/LFLwUuxuNfcRuixRE6UljL70N2WkSzM6G3W0a/70rCB7ne89mN9pODORD61hDNlcgiCtn&#10;Wq41HD9f7lYgQkQ22DkmDd8UYLed3GywMO7KHzSUsRYphEOBGpoY+0LKUDVkMcxdT5y4s/MWYzp9&#10;LY3Hawq3nbxXaiEttpwaGuxp31D1VV6shtI+Gh+Wp0N+HF73GR9m8X120fp2Oj4/gYg0xn/xn/vN&#10;pPmLdZ4rlS0f4PenBIDc/gAAAP//AwBQSwECLQAUAAYACAAAACEA2+H2y+4AAACFAQAAEwAAAAAA&#10;AAAAAAAAAAAAAAAAW0NvbnRlbnRfVHlwZXNdLnhtbFBLAQItABQABgAIAAAAIQBa9CxbvwAAABUB&#10;AAALAAAAAAAAAAAAAAAAAB8BAABfcmVscy8ucmVsc1BLAQItABQABgAIAAAAIQAFy+C8yAAAAOMA&#10;AAAPAAAAAAAAAAAAAAAAAAcCAABkcnMvZG93bnJldi54bWxQSwUGAAAAAAMAAwC3AAAA/AIAAAAA&#10;">
                <v:path arrowok="t"/>
              </v:shape>
              <v:shape id="Graphic 3" style="position:absolute;left:45498;width:15557;height:2794;visibility:visible;mso-wrap-style:square;v-text-anchor:top" coordsize="1555750,279400" o:spid="_x0000_s1028" fillcolor="#febe4d" stroked="f" path="m1555203,l,,,278993r1555203,l15552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2rzyQAAAOMAAAAPAAAAZHJzL2Rvd25yZXYueG1sRE9fa8Iw&#10;EH8f+B3CCXubyaRMV40iyjYfhjK3oY9Hc2uLzaVrYq3ffhGEPd7v/03nna1ES40vHWt4HCgQxJkz&#10;Jecavj5fHsYgfEA2WDkmDRfyMJ/17qaYGnfmD2p3IRcxhH2KGooQ6lRKnxVk0Q9cTRy5H9dYDPFs&#10;cmkaPMdwW8mhUk/SYsmxocCalgVlx93Jalh/u8v7ftguDq+r49vmsHW/21Oi9X2/W0xABOrCv/jm&#10;Xps4PxmPlErU6BmuP0UA5OwPAAD//wMAUEsBAi0AFAAGAAgAAAAhANvh9svuAAAAhQEAABMAAAAA&#10;AAAAAAAAAAAAAAAAAFtDb250ZW50X1R5cGVzXS54bWxQSwECLQAUAAYACAAAACEAWvQsW78AAAAV&#10;AQAACwAAAAAAAAAAAAAAAAAfAQAAX3JlbHMvLnJlbHNQSwECLQAUAAYACAAAACEA4vdq88kAAADj&#10;AAAADwAAAAAAAAAAAAAAAAAHAgAAZHJzL2Rvd25yZXYueG1sUEsFBgAAAAADAAMAtwAAAP0CAAAA&#10;AA==&#10;">
                <v:path arrowok="t"/>
              </v:shape>
              <v:shape id="Graphic 4" style="position:absolute;left:29946;width:15557;height:2794;visibility:visible;mso-wrap-style:square;v-text-anchor:top" coordsize="1555750,279400" o:spid="_x0000_s1029" fillcolor="#74c8b1" stroked="f" path="m1555203,l,,,278993r1555203,l15552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W/fxAAAAOIAAAAPAAAAZHJzL2Rvd25yZXYueG1sRE9da8Iw&#10;FH0f+B/CFXybqZ0V2xllyIS9qht7vTTXptjcdE2s9d+bgeDj4XyvNoNtRE+drx0rmE0TEMSl0zVX&#10;Cr6Pu9clCB+QNTaOScGNPGzWo5cVFtpdeU/9IVQihrAvUIEJoS2k9KUhi37qWuLInVxnMUTYVVJ3&#10;eI3htpFpkiykxZpjg8GWtobK8+FiFbgsx0qnn+aXT7OfNPvL9+c+KDUZDx/vIAIN4Sl+uL90nL+Y&#10;Z/P0bZnD/6WIQa7vAAAA//8DAFBLAQItABQABgAIAAAAIQDb4fbL7gAAAIUBAAATAAAAAAAAAAAA&#10;AAAAAAAAAABbQ29udGVudF9UeXBlc10ueG1sUEsBAi0AFAAGAAgAAAAhAFr0LFu/AAAAFQEAAAsA&#10;AAAAAAAAAAAAAAAAHwEAAF9yZWxzLy5yZWxzUEsBAi0AFAAGAAgAAAAhALyZb9/EAAAA4gAAAA8A&#10;AAAAAAAAAAAAAAAABwIAAGRycy9kb3ducmV2LnhtbFBLBQYAAAAAAwADALcAAAD4AgAAAAA=&#10;">
                <v:path arrowok="t"/>
              </v:shape>
              <v:shape id="Graphic 5" style="position:absolute;left:14394;width:15557;height:2794;visibility:visible;mso-wrap-style:square;v-text-anchor:top" coordsize="1555750,279400" o:spid="_x0000_s1030" fillcolor="#00aeef" stroked="f" path="m1555203,l,,,278993r1555203,l15552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Z2wywAAAOMAAAAPAAAAZHJzL2Rvd25yZXYueG1sRE/dT8Iw&#10;EH838X9ozoQ3acGBZFIIEvlIMCaiMT6e67Etrte5Vhj89ZaExMf7fd942tpK7KnxpWMNva4CQZw5&#10;U3Ku4f1tcTsC4QOywcoxaTiSh+nk+mqMqXEHfqX9NuQihrBPUUMRQp1K6bOCLPquq4kjt3ONxRDP&#10;JpemwUMMt5XsKzWUFkuODQXWNC8o+97+Wg2fMzX4+tnw6mM9f3p8flkuTrukp3Xnpp09gAjUhn/x&#10;xb02cX4/SdRgdKfu4fxTBEBO/gAAAP//AwBQSwECLQAUAAYACAAAACEA2+H2y+4AAACFAQAAEwAA&#10;AAAAAAAAAAAAAAAAAAAAW0NvbnRlbnRfVHlwZXNdLnhtbFBLAQItABQABgAIAAAAIQBa9CxbvwAA&#10;ABUBAAALAAAAAAAAAAAAAAAAAB8BAABfcmVscy8ucmVsc1BLAQItABQABgAIAAAAIQCVeZ2wywAA&#10;AOMAAAAPAAAAAAAAAAAAAAAAAAcCAABkcnMvZG93bnJldi54bWxQSwUGAAAAAAMAAwC3AAAA/wIA&#10;AAAA&#10;">
                <v:path arrowok="t"/>
              </v:shape>
              <v:shape id="Graphic 6" style="position:absolute;width:14395;height:2794;visibility:visible;mso-wrap-style:square;v-text-anchor:top" coordsize="1439545,279400" o:spid="_x0000_s1031" fillcolor="#7b277d" stroked="f" path="m1439405,l,,,278993r1439405,l14394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JwKywAAAOIAAAAPAAAAZHJzL2Rvd25yZXYueG1sRI9PS8NA&#10;FMTvBb/D8gQvxW7+NFrSbku0Cj2aWDw/ss8kNPs2ZNc29dO7guBxmJnfMJvdZHpxptF1lhXEiwgE&#10;cW11x42C4/vr/QqE88gae8uk4EoOdtub2QZzbS9c0rnyjQgQdjkqaL0fcild3ZJBt7ADcfA+7WjQ&#10;Bzk2Uo94CXDTyySKHqTBjsNCiwM9t1Sfqi+j4CXeH69FlTwti7cPnqdxWe6/J6XubqdiDcLT5P/D&#10;f+2DVpBmyyxL0tUj/F4Kd0BufwAAAP//AwBQSwECLQAUAAYACAAAACEA2+H2y+4AAACFAQAAEwAA&#10;AAAAAAAAAAAAAAAAAAAAW0NvbnRlbnRfVHlwZXNdLnhtbFBLAQItABQABgAIAAAAIQBa9CxbvwAA&#10;ABUBAAALAAAAAAAAAAAAAAAAAB8BAABfcmVscy8ucmVsc1BLAQItABQABgAIAAAAIQAtRJwKywAA&#10;AOIAAAAPAAAAAAAAAAAAAAAAAAcCAABkcnMvZG93bnJldi54bWxQSwUGAAAAAAMAAwC3AAAA/wIA&#10;AAAA&#10;">
                <v:path arrowok="t"/>
              </v:shape>
              <w10:wrap type="topAndBottom"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D0CF1" w14:textId="77777777" w:rsidR="00F7632D" w:rsidRDefault="00F7632D" w:rsidP="00EA560F">
      <w:r>
        <w:separator/>
      </w:r>
    </w:p>
  </w:footnote>
  <w:footnote w:type="continuationSeparator" w:id="0">
    <w:p w14:paraId="691FE666" w14:textId="77777777" w:rsidR="00F7632D" w:rsidRDefault="00F7632D" w:rsidP="00EA5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6A053" w14:textId="43767BEE" w:rsidR="00EA560F" w:rsidRDefault="0027612A" w:rsidP="0027612A">
    <w:pPr>
      <w:pStyle w:val="Header"/>
      <w:tabs>
        <w:tab w:val="clear" w:pos="8306"/>
        <w:tab w:val="left" w:pos="7485"/>
      </w:tabs>
    </w:pPr>
    <w:r w:rsidRPr="001E0B98">
      <w:rPr>
        <w:i/>
        <w:iCs/>
        <w:noProof/>
        <w:lang w:val="en-US"/>
      </w:rPr>
      <w:drawing>
        <wp:anchor distT="0" distB="0" distL="114300" distR="114300" simplePos="0" relativeHeight="251661312" behindDoc="1" locked="0" layoutInCell="1" allowOverlap="1" wp14:anchorId="2CF538FC" wp14:editId="079F0E99">
          <wp:simplePos x="0" y="0"/>
          <wp:positionH relativeFrom="column">
            <wp:posOffset>3876675</wp:posOffset>
          </wp:positionH>
          <wp:positionV relativeFrom="paragraph">
            <wp:posOffset>-133350</wp:posOffset>
          </wp:positionV>
          <wp:extent cx="1809750" cy="536575"/>
          <wp:effectExtent l="0" t="0" r="0" b="0"/>
          <wp:wrapTight wrapText="bothSides">
            <wp:wrapPolygon edited="0">
              <wp:start x="15916" y="0"/>
              <wp:lineTo x="0" y="767"/>
              <wp:lineTo x="0" y="19938"/>
              <wp:lineTo x="18644" y="20705"/>
              <wp:lineTo x="20691" y="20705"/>
              <wp:lineTo x="21373" y="18405"/>
              <wp:lineTo x="21145" y="15337"/>
              <wp:lineTo x="19326" y="13037"/>
              <wp:lineTo x="21145" y="9202"/>
              <wp:lineTo x="21145" y="6135"/>
              <wp:lineTo x="17735" y="0"/>
              <wp:lineTo x="15916" y="0"/>
            </wp:wrapPolygon>
          </wp:wrapTight>
          <wp:docPr id="343522157" name="Picture 6" descr="A black background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black background with blue and green 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6459" t="9799" r="4785" b="7287"/>
                  <a:stretch>
                    <a:fillRect/>
                  </a:stretch>
                </pic:blipFill>
                <pic:spPr bwMode="auto">
                  <a:xfrm>
                    <a:off x="0" y="0"/>
                    <a:ext cx="1809750" cy="536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A560F">
      <w:t>CHARTER – EMERGING PRACTICE EXAMPLE/CASE STUDY</w:t>
    </w:r>
    <w:r>
      <w:tab/>
    </w:r>
  </w:p>
  <w:p w14:paraId="776A1654" w14:textId="5063ED1C" w:rsidR="00EA560F" w:rsidRDefault="00EA56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DB500D"/>
    <w:multiLevelType w:val="hybridMultilevel"/>
    <w:tmpl w:val="B56EB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45CE9"/>
    <w:multiLevelType w:val="hybridMultilevel"/>
    <w:tmpl w:val="4DD66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43597"/>
    <w:multiLevelType w:val="hybridMultilevel"/>
    <w:tmpl w:val="4B3E0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7B6B97"/>
    <w:multiLevelType w:val="hybridMultilevel"/>
    <w:tmpl w:val="4F3AE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8410D"/>
    <w:multiLevelType w:val="hybridMultilevel"/>
    <w:tmpl w:val="B2DE9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FC074D7"/>
    <w:multiLevelType w:val="hybridMultilevel"/>
    <w:tmpl w:val="3692E14C"/>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FA079F8"/>
    <w:multiLevelType w:val="hybridMultilevel"/>
    <w:tmpl w:val="D61A48F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D6E0AD9"/>
    <w:multiLevelType w:val="multilevel"/>
    <w:tmpl w:val="973C58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33057512"/>
    <w:multiLevelType w:val="multilevel"/>
    <w:tmpl w:val="FE82484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39792192"/>
    <w:multiLevelType w:val="multilevel"/>
    <w:tmpl w:val="1318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520F69"/>
    <w:multiLevelType w:val="hybridMultilevel"/>
    <w:tmpl w:val="A932966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0EC187E"/>
    <w:multiLevelType w:val="multilevel"/>
    <w:tmpl w:val="BDFAC5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61096506"/>
    <w:multiLevelType w:val="multilevel"/>
    <w:tmpl w:val="BE44DB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63422FBE"/>
    <w:multiLevelType w:val="hybridMultilevel"/>
    <w:tmpl w:val="AF9EB6E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6" w15:restartNumberingAfterBreak="0">
    <w:nsid w:val="698740F0"/>
    <w:multiLevelType w:val="multilevel"/>
    <w:tmpl w:val="EEBE869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71203440"/>
    <w:multiLevelType w:val="hybridMultilevel"/>
    <w:tmpl w:val="9790E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0E4CAA"/>
    <w:multiLevelType w:val="multilevel"/>
    <w:tmpl w:val="9514ACB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 w15:restartNumberingAfterBreak="0">
    <w:nsid w:val="72DD53F7"/>
    <w:multiLevelType w:val="multilevel"/>
    <w:tmpl w:val="E0B621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7772234C"/>
    <w:multiLevelType w:val="multilevel"/>
    <w:tmpl w:val="730C349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1924026221">
    <w:abstractNumId w:val="15"/>
  </w:num>
  <w:num w:numId="2" w16cid:durableId="1609509636">
    <w:abstractNumId w:val="0"/>
  </w:num>
  <w:num w:numId="3" w16cid:durableId="1181509605">
    <w:abstractNumId w:val="0"/>
  </w:num>
  <w:num w:numId="4" w16cid:durableId="881747327">
    <w:abstractNumId w:val="0"/>
  </w:num>
  <w:num w:numId="5" w16cid:durableId="41291574">
    <w:abstractNumId w:val="15"/>
  </w:num>
  <w:num w:numId="6" w16cid:durableId="1514421113">
    <w:abstractNumId w:val="0"/>
  </w:num>
  <w:num w:numId="7" w16cid:durableId="1763378954">
    <w:abstractNumId w:val="10"/>
  </w:num>
  <w:num w:numId="8" w16cid:durableId="142045816">
    <w:abstractNumId w:val="13"/>
  </w:num>
  <w:num w:numId="9" w16cid:durableId="268246637">
    <w:abstractNumId w:val="1"/>
  </w:num>
  <w:num w:numId="10" w16cid:durableId="17046405">
    <w:abstractNumId w:val="15"/>
  </w:num>
  <w:num w:numId="11" w16cid:durableId="1228227917">
    <w:abstractNumId w:val="7"/>
  </w:num>
  <w:num w:numId="12" w16cid:durableId="1314217288">
    <w:abstractNumId w:val="14"/>
  </w:num>
  <w:num w:numId="13" w16cid:durableId="2096433200">
    <w:abstractNumId w:val="11"/>
  </w:num>
  <w:num w:numId="14" w16cid:durableId="700979700">
    <w:abstractNumId w:val="6"/>
  </w:num>
  <w:num w:numId="15" w16cid:durableId="1320574681">
    <w:abstractNumId w:val="3"/>
  </w:num>
  <w:num w:numId="16" w16cid:durableId="2098478577">
    <w:abstractNumId w:val="5"/>
  </w:num>
  <w:num w:numId="17" w16cid:durableId="1005016029">
    <w:abstractNumId w:val="4"/>
  </w:num>
  <w:num w:numId="18" w16cid:durableId="2043439807">
    <w:abstractNumId w:val="2"/>
  </w:num>
  <w:num w:numId="19" w16cid:durableId="384718462">
    <w:abstractNumId w:val="17"/>
  </w:num>
  <w:num w:numId="20" w16cid:durableId="755709982">
    <w:abstractNumId w:val="12"/>
  </w:num>
  <w:num w:numId="21" w16cid:durableId="1849443275">
    <w:abstractNumId w:val="16"/>
  </w:num>
  <w:num w:numId="22" w16cid:durableId="444425753">
    <w:abstractNumId w:val="8"/>
  </w:num>
  <w:num w:numId="23" w16cid:durableId="1921796117">
    <w:abstractNumId w:val="19"/>
  </w:num>
  <w:num w:numId="24" w16cid:durableId="733822786">
    <w:abstractNumId w:val="18"/>
  </w:num>
  <w:num w:numId="25" w16cid:durableId="1898275746">
    <w:abstractNumId w:val="20"/>
  </w:num>
  <w:num w:numId="26" w16cid:durableId="16192650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1AB"/>
    <w:rsid w:val="00003939"/>
    <w:rsid w:val="0001720C"/>
    <w:rsid w:val="00027C27"/>
    <w:rsid w:val="00086112"/>
    <w:rsid w:val="00096C4A"/>
    <w:rsid w:val="000C0CF4"/>
    <w:rsid w:val="000D657B"/>
    <w:rsid w:val="000E012D"/>
    <w:rsid w:val="000F6B00"/>
    <w:rsid w:val="0010253B"/>
    <w:rsid w:val="00106532"/>
    <w:rsid w:val="00120D75"/>
    <w:rsid w:val="001770E7"/>
    <w:rsid w:val="00196CDD"/>
    <w:rsid w:val="0021226A"/>
    <w:rsid w:val="0022148A"/>
    <w:rsid w:val="0027612A"/>
    <w:rsid w:val="00281579"/>
    <w:rsid w:val="0028649A"/>
    <w:rsid w:val="00293966"/>
    <w:rsid w:val="002A7B08"/>
    <w:rsid w:val="002B5FED"/>
    <w:rsid w:val="002F6AE6"/>
    <w:rsid w:val="00300AC1"/>
    <w:rsid w:val="00306C61"/>
    <w:rsid w:val="00341824"/>
    <w:rsid w:val="003671AB"/>
    <w:rsid w:val="00374D4E"/>
    <w:rsid w:val="0037582B"/>
    <w:rsid w:val="0038203B"/>
    <w:rsid w:val="003A633B"/>
    <w:rsid w:val="003C54AC"/>
    <w:rsid w:val="003D60B5"/>
    <w:rsid w:val="0040352A"/>
    <w:rsid w:val="00415F5E"/>
    <w:rsid w:val="00426362"/>
    <w:rsid w:val="0043116B"/>
    <w:rsid w:val="00440AAC"/>
    <w:rsid w:val="00446795"/>
    <w:rsid w:val="004560EB"/>
    <w:rsid w:val="00463864"/>
    <w:rsid w:val="00474F3D"/>
    <w:rsid w:val="00480913"/>
    <w:rsid w:val="00487A65"/>
    <w:rsid w:val="004A191F"/>
    <w:rsid w:val="004C35D6"/>
    <w:rsid w:val="004F2214"/>
    <w:rsid w:val="00510FD8"/>
    <w:rsid w:val="0052244A"/>
    <w:rsid w:val="005262B3"/>
    <w:rsid w:val="005432E7"/>
    <w:rsid w:val="005718E2"/>
    <w:rsid w:val="005A6BF0"/>
    <w:rsid w:val="005A7A88"/>
    <w:rsid w:val="005B6428"/>
    <w:rsid w:val="005E4685"/>
    <w:rsid w:val="00605D55"/>
    <w:rsid w:val="00621B32"/>
    <w:rsid w:val="0063533F"/>
    <w:rsid w:val="0065421C"/>
    <w:rsid w:val="0066643F"/>
    <w:rsid w:val="006A5ECB"/>
    <w:rsid w:val="006D0865"/>
    <w:rsid w:val="006E6145"/>
    <w:rsid w:val="00700096"/>
    <w:rsid w:val="007177FC"/>
    <w:rsid w:val="007529E4"/>
    <w:rsid w:val="007535B9"/>
    <w:rsid w:val="00762850"/>
    <w:rsid w:val="007E438B"/>
    <w:rsid w:val="007E78B1"/>
    <w:rsid w:val="007F0033"/>
    <w:rsid w:val="007F339B"/>
    <w:rsid w:val="00801815"/>
    <w:rsid w:val="00826A29"/>
    <w:rsid w:val="00834697"/>
    <w:rsid w:val="00837C5D"/>
    <w:rsid w:val="00840BFA"/>
    <w:rsid w:val="00857548"/>
    <w:rsid w:val="008D4DA8"/>
    <w:rsid w:val="008D53B8"/>
    <w:rsid w:val="008E6889"/>
    <w:rsid w:val="008F15D6"/>
    <w:rsid w:val="008F2484"/>
    <w:rsid w:val="009044DA"/>
    <w:rsid w:val="00933807"/>
    <w:rsid w:val="00946B6A"/>
    <w:rsid w:val="009471FE"/>
    <w:rsid w:val="00960640"/>
    <w:rsid w:val="009957EE"/>
    <w:rsid w:val="009B7615"/>
    <w:rsid w:val="009C652B"/>
    <w:rsid w:val="009E75F9"/>
    <w:rsid w:val="00A35D51"/>
    <w:rsid w:val="00A7271A"/>
    <w:rsid w:val="00A96E4C"/>
    <w:rsid w:val="00AA4031"/>
    <w:rsid w:val="00AB1B73"/>
    <w:rsid w:val="00AB3E08"/>
    <w:rsid w:val="00AD0B38"/>
    <w:rsid w:val="00AE5B38"/>
    <w:rsid w:val="00B02825"/>
    <w:rsid w:val="00B301B4"/>
    <w:rsid w:val="00B51BDC"/>
    <w:rsid w:val="00B561C0"/>
    <w:rsid w:val="00B76C0C"/>
    <w:rsid w:val="00B773CE"/>
    <w:rsid w:val="00B914FB"/>
    <w:rsid w:val="00BC6190"/>
    <w:rsid w:val="00C0215E"/>
    <w:rsid w:val="00C10FE8"/>
    <w:rsid w:val="00C23D9F"/>
    <w:rsid w:val="00C619EE"/>
    <w:rsid w:val="00C650FE"/>
    <w:rsid w:val="00C7139C"/>
    <w:rsid w:val="00C91823"/>
    <w:rsid w:val="00CA29CD"/>
    <w:rsid w:val="00CD25D5"/>
    <w:rsid w:val="00CE5BA3"/>
    <w:rsid w:val="00D000E4"/>
    <w:rsid w:val="00D008AB"/>
    <w:rsid w:val="00D22CB4"/>
    <w:rsid w:val="00D509DF"/>
    <w:rsid w:val="00D735C0"/>
    <w:rsid w:val="00D914B7"/>
    <w:rsid w:val="00DB4E30"/>
    <w:rsid w:val="00DD1E4B"/>
    <w:rsid w:val="00DD784B"/>
    <w:rsid w:val="00DF4144"/>
    <w:rsid w:val="00E624EF"/>
    <w:rsid w:val="00E74FE5"/>
    <w:rsid w:val="00E8423C"/>
    <w:rsid w:val="00EA2026"/>
    <w:rsid w:val="00EA5046"/>
    <w:rsid w:val="00EA560F"/>
    <w:rsid w:val="00EC19B0"/>
    <w:rsid w:val="00EF1ED6"/>
    <w:rsid w:val="00F0070A"/>
    <w:rsid w:val="00F34327"/>
    <w:rsid w:val="00F55702"/>
    <w:rsid w:val="00F567B0"/>
    <w:rsid w:val="00F670E1"/>
    <w:rsid w:val="00F72115"/>
    <w:rsid w:val="00F7632D"/>
    <w:rsid w:val="00F80545"/>
    <w:rsid w:val="00FA2696"/>
    <w:rsid w:val="00FA3DFE"/>
    <w:rsid w:val="00FA4BC1"/>
    <w:rsid w:val="00FB5B39"/>
    <w:rsid w:val="00FC0C6F"/>
    <w:rsid w:val="00FD3511"/>
    <w:rsid w:val="00FD3E0D"/>
    <w:rsid w:val="00FE1045"/>
    <w:rsid w:val="00FF1B0F"/>
    <w:rsid w:val="0184D409"/>
    <w:rsid w:val="15DF1B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9CB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1AB"/>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3671A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671A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671A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671A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671A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671A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3671AB"/>
    <w:rPr>
      <w:rFonts w:eastAsiaTheme="majorEastAsia" w:cstheme="majorBidi"/>
      <w:i/>
      <w:iCs/>
      <w:color w:val="2F5496"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3671AB"/>
    <w:rPr>
      <w:rFonts w:eastAsiaTheme="majorEastAsia" w:cstheme="majorBidi"/>
      <w:color w:val="2F5496"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3671AB"/>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3671AB"/>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3671AB"/>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3671AB"/>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3671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1AB"/>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3671A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1AB"/>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3671A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671AB"/>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3671AB"/>
    <w:pPr>
      <w:ind w:left="720"/>
      <w:contextualSpacing/>
    </w:pPr>
  </w:style>
  <w:style w:type="character" w:styleId="IntenseEmphasis">
    <w:name w:val="Intense Emphasis"/>
    <w:basedOn w:val="DefaultParagraphFont"/>
    <w:uiPriority w:val="21"/>
    <w:qFormat/>
    <w:rsid w:val="003671AB"/>
    <w:rPr>
      <w:i/>
      <w:iCs/>
      <w:color w:val="2F5496" w:themeColor="accent1" w:themeShade="BF"/>
    </w:rPr>
  </w:style>
  <w:style w:type="paragraph" w:styleId="IntenseQuote">
    <w:name w:val="Intense Quote"/>
    <w:basedOn w:val="Normal"/>
    <w:next w:val="Normal"/>
    <w:link w:val="IntenseQuoteChar"/>
    <w:uiPriority w:val="30"/>
    <w:qFormat/>
    <w:rsid w:val="003671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71AB"/>
    <w:rPr>
      <w:rFonts w:ascii="Arial" w:hAnsi="Arial" w:cs="Times New Roman"/>
      <w:i/>
      <w:iCs/>
      <w:color w:val="2F5496" w:themeColor="accent1" w:themeShade="BF"/>
      <w:kern w:val="0"/>
      <w:sz w:val="24"/>
      <w:szCs w:val="20"/>
      <w14:ligatures w14:val="none"/>
    </w:rPr>
  </w:style>
  <w:style w:type="character" w:styleId="IntenseReference">
    <w:name w:val="Intense Reference"/>
    <w:basedOn w:val="DefaultParagraphFont"/>
    <w:uiPriority w:val="32"/>
    <w:qFormat/>
    <w:rsid w:val="003671AB"/>
    <w:rPr>
      <w:b/>
      <w:bCs/>
      <w:smallCaps/>
      <w:color w:val="2F5496" w:themeColor="accent1" w:themeShade="BF"/>
      <w:spacing w:val="5"/>
    </w:rPr>
  </w:style>
  <w:style w:type="character" w:styleId="Hyperlink">
    <w:name w:val="Hyperlink"/>
    <w:basedOn w:val="DefaultParagraphFont"/>
    <w:uiPriority w:val="99"/>
    <w:unhideWhenUsed/>
    <w:rsid w:val="003671AB"/>
    <w:rPr>
      <w:color w:val="0563C1" w:themeColor="hyperlink"/>
      <w:u w:val="single"/>
    </w:rPr>
  </w:style>
  <w:style w:type="character" w:styleId="UnresolvedMention">
    <w:name w:val="Unresolved Mention"/>
    <w:basedOn w:val="DefaultParagraphFont"/>
    <w:uiPriority w:val="99"/>
    <w:semiHidden/>
    <w:unhideWhenUsed/>
    <w:rsid w:val="003671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4FF4B23335F7489821F9E19D352FA2" ma:contentTypeVersion="18" ma:contentTypeDescription="Create a new document." ma:contentTypeScope="" ma:versionID="e4fc57c5018392932586845dd813d7ca">
  <xsd:schema xmlns:xsd="http://www.w3.org/2001/XMLSchema" xmlns:xs="http://www.w3.org/2001/XMLSchema" xmlns:p="http://schemas.microsoft.com/office/2006/metadata/properties" xmlns:ns2="40f60177-1d5c-41bb-86be-64a2d939cfa7" xmlns:ns3="e253c5a1-5864-4e1f-9a56-7962535f188a" targetNamespace="http://schemas.microsoft.com/office/2006/metadata/properties" ma:root="true" ma:fieldsID="d2216967dce3eb2e81362f119a2a6871" ns2:_="" ns3:_="">
    <xsd:import namespace="40f60177-1d5c-41bb-86be-64a2d939cfa7"/>
    <xsd:import namespace="e253c5a1-5864-4e1f-9a56-7962535f18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element ref="ns2:Tobeincluded_x002f_updated" minOccurs="0"/>
                <xsd:element ref="ns2:Dateforcomp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60177-1d5c-41bb-86be-64a2d939c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obeincluded_x002f_updated" ma:index="24" nillable="true" ma:displayName="To be included/updated" ma:default="1" ma:format="Dropdown" ma:internalName="Tobeincluded_x002f_updated">
      <xsd:simpleType>
        <xsd:restriction base="dms:Boolean"/>
      </xsd:simpleType>
    </xsd:element>
    <xsd:element name="Dateforcompletion" ma:index="25" nillable="true" ma:displayName="Date for completion" ma:format="DateOnly" ma:internalName="Dateforcompletio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253c5a1-5864-4e1f-9a56-7962535f18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f3ccb37-4810-40ca-9d12-1d7e0a17572f}" ma:internalName="TaxCatchAll" ma:showField="CatchAllData" ma:web="e253c5a1-5864-4e1f-9a56-7962535f18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253c5a1-5864-4e1f-9a56-7962535f188a" xsi:nil="true"/>
    <Dateforcompletion xmlns="40f60177-1d5c-41bb-86be-64a2d939cfa7" xsi:nil="true"/>
    <Tobeincluded_x002f_updated xmlns="40f60177-1d5c-41bb-86be-64a2d939cfa7">true</Tobeincluded_x002f_updated>
    <lcf76f155ced4ddcb4097134ff3c332f xmlns="40f60177-1d5c-41bb-86be-64a2d939cf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38A8CC-E6A8-4BA4-B61E-13D170C8CFD7}">
  <ds:schemaRefs>
    <ds:schemaRef ds:uri="http://schemas.microsoft.com/sharepoint/v3/contenttype/forms"/>
  </ds:schemaRefs>
</ds:datastoreItem>
</file>

<file path=customXml/itemProps2.xml><?xml version="1.0" encoding="utf-8"?>
<ds:datastoreItem xmlns:ds="http://schemas.openxmlformats.org/officeDocument/2006/customXml" ds:itemID="{122D82F4-106D-4790-93AD-1A343D3AF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60177-1d5c-41bb-86be-64a2d939cfa7"/>
    <ds:schemaRef ds:uri="e253c5a1-5864-4e1f-9a56-7962535f18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45E81D-CABA-4434-B026-62465449E161}">
  <ds:schemaRefs>
    <ds:schemaRef ds:uri="http://schemas.microsoft.com/office/2006/metadata/properties"/>
    <ds:schemaRef ds:uri="http://schemas.microsoft.com/office/infopath/2007/PartnerControls"/>
    <ds:schemaRef ds:uri="e253c5a1-5864-4e1f-9a56-7962535f188a"/>
    <ds:schemaRef ds:uri="40f60177-1d5c-41bb-86be-64a2d939cfa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2094</Characters>
  <Application>Microsoft Office Word</Application>
  <DocSecurity>0</DocSecurity>
  <Lines>74</Lines>
  <Paragraphs>29</Paragraphs>
  <ScaleCrop>false</ScaleCrop>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2025-12-08T15:21:00Z</dcterms:created>
  <dcterms:modified xsi:type="dcterms:W3CDTF">2025-12-08T15:21:00Z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0x010100154FF4B23335F7489821F9E19D352FA2</vt:lpwstr>
  </property>
  <property fmtid="{D5CDD505-2E9C-101B-9397-08002B2CF9AE}" pid="3" name="MediaServiceImageTags">
    <vt:lpwstr/>
  </property>
</Properties>
</file>