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98F0" w14:textId="1B51744B" w:rsidR="006B7DDB" w:rsidRDefault="00CD472C" w:rsidP="00CD472C">
      <w:pPr>
        <w:pStyle w:val="Heading1"/>
        <w:numPr>
          <w:ilvl w:val="0"/>
          <w:numId w:val="0"/>
        </w:numPr>
      </w:pPr>
      <w:r w:rsidRPr="0046110E">
        <w:rPr>
          <w:i/>
          <w:iCs/>
          <w:noProof/>
          <w:lang w:val="en-US"/>
        </w:rPr>
        <w:drawing>
          <wp:anchor distT="0" distB="0" distL="114300" distR="114300" simplePos="0" relativeHeight="251660288" behindDoc="0" locked="0" layoutInCell="1" allowOverlap="1" wp14:anchorId="534F3989" wp14:editId="0B296DD7">
            <wp:simplePos x="0" y="0"/>
            <wp:positionH relativeFrom="margin">
              <wp:posOffset>-342900</wp:posOffset>
            </wp:positionH>
            <wp:positionV relativeFrom="paragraph">
              <wp:posOffset>0</wp:posOffset>
            </wp:positionV>
            <wp:extent cx="2346960" cy="744855"/>
            <wp:effectExtent l="0" t="0" r="0" b="0"/>
            <wp:wrapTopAndBottom/>
            <wp:docPr id="68791107" name="Picture 4" descr="The National Collaborative logo with their slogan Need Change Need Righ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1107" name="Picture 4" descr="The National Collaborative logo with their slogan Need Change Need Rights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6960" cy="744855"/>
                    </a:xfrm>
                    <a:prstGeom prst="rect">
                      <a:avLst/>
                    </a:prstGeom>
                    <a:noFill/>
                  </pic:spPr>
                </pic:pic>
              </a:graphicData>
            </a:graphic>
            <wp14:sizeRelH relativeFrom="page">
              <wp14:pctWidth>0</wp14:pctWidth>
            </wp14:sizeRelH>
            <wp14:sizeRelV relativeFrom="page">
              <wp14:pctHeight>0</wp14:pctHeight>
            </wp14:sizeRelV>
          </wp:anchor>
        </w:drawing>
      </w:r>
      <w:r w:rsidR="00F44E0A" w:rsidRPr="00330A2F">
        <w:t xml:space="preserve">The FAIR model example of applying the Panel Principles to strengthen ADP/LLE engagement. </w:t>
      </w:r>
    </w:p>
    <w:p w14:paraId="608D5E4A" w14:textId="4D4641A7" w:rsidR="00330A2F" w:rsidRPr="00330A2F" w:rsidRDefault="00330A2F" w:rsidP="00330A2F">
      <w:pPr>
        <w:pStyle w:val="ListParagraph"/>
        <w:spacing w:after="0"/>
        <w:ind w:left="0"/>
        <w:contextualSpacing w:val="0"/>
        <w:rPr>
          <w:rFonts w:ascii="Arial" w:hAnsi="Arial" w:cs="Arial"/>
          <w:b/>
          <w:bCs/>
          <w:sz w:val="28"/>
          <w:szCs w:val="28"/>
        </w:rPr>
      </w:pPr>
    </w:p>
    <w:p w14:paraId="279B7AC3" w14:textId="23B11A03" w:rsidR="00F44E0A" w:rsidRPr="00330A2F" w:rsidRDefault="00F44E0A" w:rsidP="00F44E0A">
      <w:pPr>
        <w:jc w:val="both"/>
        <w:rPr>
          <w:rFonts w:ascii="Arial" w:hAnsi="Arial" w:cs="Arial"/>
          <w:sz w:val="28"/>
          <w:szCs w:val="28"/>
        </w:rPr>
      </w:pPr>
      <w:r w:rsidRPr="00330A2F">
        <w:rPr>
          <w:rFonts w:ascii="Arial" w:hAnsi="Arial" w:cs="Arial"/>
          <w:sz w:val="28"/>
          <w:szCs w:val="28"/>
        </w:rPr>
        <w:t>ADP/LLE engagement is a critical part of the implementation of the Charter of Rights at a local level. Key findings from our evidence-gathering sessions tell us that there is considerable room for improvement in the interactions between ADPs and LLE panels.</w:t>
      </w:r>
    </w:p>
    <w:p w14:paraId="12C154CC" w14:textId="7543A55B" w:rsidR="00F44E0A" w:rsidRPr="00330A2F" w:rsidRDefault="00F44E0A" w:rsidP="00F44E0A">
      <w:pPr>
        <w:jc w:val="both"/>
        <w:rPr>
          <w:rFonts w:ascii="Arial" w:hAnsi="Arial" w:cs="Arial"/>
          <w:sz w:val="28"/>
          <w:szCs w:val="28"/>
        </w:rPr>
      </w:pPr>
      <w:r w:rsidRPr="00330A2F">
        <w:rPr>
          <w:rFonts w:ascii="Arial" w:hAnsi="Arial" w:cs="Arial"/>
          <w:sz w:val="28"/>
          <w:szCs w:val="28"/>
        </w:rPr>
        <w:t>Accordingly, this guidance demonstrates how the FAIR model of applying the Panel Principles can support improved meaningful engagement between ADPs and LLE Panels and other relevant stakeholders including Reference Groups, LEROs and family organisations.</w:t>
      </w:r>
    </w:p>
    <w:p w14:paraId="1DDED44D" w14:textId="14EC9A38" w:rsidR="00F44E0A" w:rsidRPr="00330A2F" w:rsidRDefault="00F44E0A" w:rsidP="00F44E0A">
      <w:pPr>
        <w:jc w:val="both"/>
        <w:rPr>
          <w:rFonts w:ascii="Arial" w:hAnsi="Arial" w:cs="Arial"/>
          <w:sz w:val="28"/>
          <w:szCs w:val="28"/>
        </w:rPr>
      </w:pPr>
      <w:r w:rsidRPr="00CD472C">
        <w:rPr>
          <w:rFonts w:ascii="Arial" w:hAnsi="Arial" w:cs="Arial"/>
          <w:b/>
          <w:bCs/>
          <w:sz w:val="28"/>
          <w:szCs w:val="28"/>
        </w:rPr>
        <w:t>Meaningful</w:t>
      </w:r>
      <w:r w:rsidRPr="00330A2F">
        <w:rPr>
          <w:rFonts w:ascii="Arial" w:hAnsi="Arial" w:cs="Arial"/>
          <w:sz w:val="28"/>
          <w:szCs w:val="28"/>
        </w:rPr>
        <w:t xml:space="preserve"> engagement is where people are able to influence outcomes.</w:t>
      </w:r>
    </w:p>
    <w:p w14:paraId="6EF41C45" w14:textId="3C3C4260" w:rsidR="00F44E0A" w:rsidRPr="00330A2F" w:rsidRDefault="00F44E0A" w:rsidP="00F44E0A">
      <w:pPr>
        <w:jc w:val="both"/>
        <w:rPr>
          <w:rFonts w:ascii="Arial" w:hAnsi="Arial" w:cs="Arial"/>
          <w:sz w:val="28"/>
          <w:szCs w:val="28"/>
        </w:rPr>
      </w:pPr>
      <w:r w:rsidRPr="00CD472C">
        <w:rPr>
          <w:rFonts w:ascii="Arial" w:hAnsi="Arial" w:cs="Arial"/>
          <w:b/>
          <w:bCs/>
          <w:sz w:val="28"/>
          <w:szCs w:val="28"/>
        </w:rPr>
        <w:t>Accessible</w:t>
      </w:r>
      <w:r w:rsidRPr="00330A2F">
        <w:rPr>
          <w:rFonts w:ascii="Arial" w:hAnsi="Arial" w:cs="Arial"/>
          <w:sz w:val="28"/>
          <w:szCs w:val="28"/>
        </w:rPr>
        <w:t xml:space="preserve"> engagement is where existing community groups and informal networks are seen as assets and information is shared in a way that is easy to understand.</w:t>
      </w:r>
    </w:p>
    <w:p w14:paraId="53462DF2" w14:textId="5955C9F4" w:rsidR="00F44E0A" w:rsidRDefault="00F44E0A" w:rsidP="00F44E0A">
      <w:pPr>
        <w:jc w:val="both"/>
        <w:rPr>
          <w:rFonts w:ascii="Arial" w:hAnsi="Arial" w:cs="Arial"/>
          <w:sz w:val="28"/>
          <w:szCs w:val="28"/>
        </w:rPr>
      </w:pPr>
      <w:r w:rsidRPr="00CD472C">
        <w:rPr>
          <w:rFonts w:ascii="Arial" w:hAnsi="Arial" w:cs="Arial"/>
          <w:b/>
          <w:bCs/>
          <w:sz w:val="28"/>
          <w:szCs w:val="28"/>
        </w:rPr>
        <w:t>Inclusive</w:t>
      </w:r>
      <w:r w:rsidRPr="00330A2F">
        <w:rPr>
          <w:rFonts w:ascii="Arial" w:hAnsi="Arial" w:cs="Arial"/>
          <w:sz w:val="28"/>
          <w:szCs w:val="28"/>
        </w:rPr>
        <w:t xml:space="preserve"> engagement is where specific efforts are made to involve people who face multiple barriers and who are not often heard. </w:t>
      </w:r>
    </w:p>
    <w:p w14:paraId="58CD773E" w14:textId="77777777" w:rsidR="00330A2F" w:rsidRPr="00330A2F" w:rsidRDefault="00330A2F" w:rsidP="00330A2F">
      <w:pPr>
        <w:rPr>
          <w:rFonts w:ascii="Arial" w:hAnsi="Arial" w:cs="Arial"/>
          <w:sz w:val="28"/>
          <w:szCs w:val="28"/>
        </w:rPr>
      </w:pPr>
    </w:p>
    <w:p w14:paraId="70EA2A97" w14:textId="77777777" w:rsidR="00330A2F" w:rsidRPr="00330A2F" w:rsidRDefault="00330A2F" w:rsidP="00330A2F">
      <w:pPr>
        <w:rPr>
          <w:rFonts w:ascii="Arial" w:hAnsi="Arial" w:cs="Arial"/>
          <w:sz w:val="28"/>
          <w:szCs w:val="28"/>
        </w:rPr>
      </w:pPr>
    </w:p>
    <w:p w14:paraId="1CE9690C" w14:textId="77777777" w:rsidR="00330A2F" w:rsidRPr="00330A2F" w:rsidRDefault="00330A2F" w:rsidP="00330A2F">
      <w:pPr>
        <w:rPr>
          <w:rFonts w:ascii="Arial" w:hAnsi="Arial" w:cs="Arial"/>
          <w:sz w:val="28"/>
          <w:szCs w:val="28"/>
        </w:rPr>
      </w:pPr>
    </w:p>
    <w:p w14:paraId="75B13947" w14:textId="77777777" w:rsidR="00330A2F" w:rsidRPr="00330A2F" w:rsidRDefault="00330A2F" w:rsidP="00330A2F">
      <w:pPr>
        <w:rPr>
          <w:rFonts w:ascii="Arial" w:hAnsi="Arial" w:cs="Arial"/>
          <w:sz w:val="28"/>
          <w:szCs w:val="28"/>
        </w:rPr>
      </w:pPr>
    </w:p>
    <w:p w14:paraId="3AF9A32D" w14:textId="77777777" w:rsidR="00330A2F" w:rsidRPr="00330A2F" w:rsidRDefault="00330A2F" w:rsidP="00330A2F">
      <w:pPr>
        <w:rPr>
          <w:rFonts w:ascii="Arial" w:hAnsi="Arial" w:cs="Arial"/>
          <w:sz w:val="28"/>
          <w:szCs w:val="28"/>
        </w:rPr>
      </w:pPr>
    </w:p>
    <w:p w14:paraId="0FD8701B" w14:textId="77777777" w:rsidR="00330A2F" w:rsidRPr="00330A2F" w:rsidRDefault="00330A2F" w:rsidP="00330A2F">
      <w:pPr>
        <w:rPr>
          <w:rFonts w:ascii="Arial" w:hAnsi="Arial" w:cs="Arial"/>
          <w:sz w:val="28"/>
          <w:szCs w:val="28"/>
        </w:rPr>
      </w:pPr>
    </w:p>
    <w:p w14:paraId="3B7CCEC8" w14:textId="77777777" w:rsidR="00330A2F" w:rsidRPr="00330A2F" w:rsidRDefault="00330A2F" w:rsidP="00330A2F">
      <w:pPr>
        <w:rPr>
          <w:rFonts w:ascii="Arial" w:hAnsi="Arial" w:cs="Arial"/>
          <w:sz w:val="28"/>
          <w:szCs w:val="28"/>
        </w:rPr>
      </w:pPr>
    </w:p>
    <w:p w14:paraId="606C5C1E" w14:textId="77777777" w:rsidR="00330A2F" w:rsidRPr="00330A2F" w:rsidRDefault="00330A2F" w:rsidP="00330A2F">
      <w:pPr>
        <w:rPr>
          <w:rFonts w:ascii="Arial" w:hAnsi="Arial" w:cs="Arial"/>
          <w:sz w:val="28"/>
          <w:szCs w:val="28"/>
        </w:rPr>
      </w:pPr>
    </w:p>
    <w:p w14:paraId="5E078700" w14:textId="77777777" w:rsidR="00330A2F" w:rsidRPr="00330A2F" w:rsidRDefault="00330A2F" w:rsidP="00330A2F">
      <w:pPr>
        <w:rPr>
          <w:rFonts w:ascii="Arial" w:hAnsi="Arial" w:cs="Arial"/>
          <w:sz w:val="28"/>
          <w:szCs w:val="28"/>
        </w:rPr>
      </w:pPr>
    </w:p>
    <w:p w14:paraId="760BB676" w14:textId="77777777" w:rsidR="00330A2F" w:rsidRPr="00330A2F" w:rsidRDefault="00330A2F" w:rsidP="00330A2F">
      <w:pPr>
        <w:rPr>
          <w:rFonts w:ascii="Arial" w:hAnsi="Arial" w:cs="Arial"/>
          <w:sz w:val="28"/>
          <w:szCs w:val="28"/>
        </w:rPr>
      </w:pPr>
    </w:p>
    <w:p w14:paraId="1DE7E985" w14:textId="77777777" w:rsidR="00330A2F" w:rsidRPr="00330A2F" w:rsidRDefault="00330A2F" w:rsidP="00330A2F">
      <w:pPr>
        <w:rPr>
          <w:rFonts w:ascii="Arial" w:hAnsi="Arial" w:cs="Arial"/>
          <w:sz w:val="28"/>
          <w:szCs w:val="28"/>
        </w:rPr>
      </w:pPr>
    </w:p>
    <w:p w14:paraId="567F917F" w14:textId="77777777" w:rsidR="00330A2F" w:rsidRPr="00330A2F" w:rsidRDefault="00330A2F" w:rsidP="00330A2F">
      <w:pPr>
        <w:jc w:val="right"/>
        <w:rPr>
          <w:rFonts w:ascii="Arial" w:hAnsi="Arial" w:cs="Arial"/>
          <w:sz w:val="28"/>
          <w:szCs w:val="28"/>
        </w:rPr>
      </w:pPr>
    </w:p>
    <w:p w14:paraId="08835EAD" w14:textId="693D5B2C" w:rsidR="00F44E0A" w:rsidRDefault="0A4AE015" w:rsidP="00F44E0A">
      <w:pPr>
        <w:jc w:val="both"/>
        <w:rPr>
          <w:rFonts w:ascii="Arial" w:hAnsi="Arial" w:cs="Arial"/>
          <w:sz w:val="28"/>
          <w:szCs w:val="28"/>
        </w:rPr>
      </w:pPr>
      <w:r w:rsidRPr="00330A2F">
        <w:rPr>
          <w:rFonts w:ascii="Arial" w:hAnsi="Arial" w:cs="Arial"/>
          <w:sz w:val="28"/>
          <w:szCs w:val="28"/>
        </w:rPr>
        <w:lastRenderedPageBreak/>
        <w:t xml:space="preserve">The </w:t>
      </w:r>
      <w:r w:rsidR="00F44E0A" w:rsidRPr="00330A2F">
        <w:rPr>
          <w:rFonts w:ascii="Arial" w:hAnsi="Arial" w:cs="Arial"/>
          <w:sz w:val="28"/>
          <w:szCs w:val="28"/>
        </w:rPr>
        <w:t xml:space="preserve">FAIR </w:t>
      </w:r>
      <w:r w:rsidR="34BF2C9C" w:rsidRPr="00330A2F">
        <w:rPr>
          <w:rFonts w:ascii="Arial" w:hAnsi="Arial" w:cs="Arial"/>
          <w:sz w:val="28"/>
          <w:szCs w:val="28"/>
        </w:rPr>
        <w:t xml:space="preserve">model </w:t>
      </w:r>
      <w:r w:rsidR="00F44E0A" w:rsidRPr="00330A2F">
        <w:rPr>
          <w:rFonts w:ascii="Arial" w:hAnsi="Arial" w:cs="Arial"/>
          <w:sz w:val="28"/>
          <w:szCs w:val="28"/>
        </w:rPr>
        <w:t xml:space="preserve">is an acronym for </w:t>
      </w:r>
      <w:r w:rsidR="00F44E0A" w:rsidRPr="00330A2F">
        <w:rPr>
          <w:rFonts w:ascii="Arial" w:hAnsi="Arial" w:cs="Arial"/>
          <w:b/>
          <w:bCs/>
          <w:sz w:val="28"/>
          <w:szCs w:val="28"/>
        </w:rPr>
        <w:t>F</w:t>
      </w:r>
      <w:r w:rsidR="00F44E0A" w:rsidRPr="00330A2F">
        <w:rPr>
          <w:rFonts w:ascii="Arial" w:hAnsi="Arial" w:cs="Arial"/>
          <w:sz w:val="28"/>
          <w:szCs w:val="28"/>
        </w:rPr>
        <w:t xml:space="preserve">acts, </w:t>
      </w:r>
      <w:r w:rsidR="00F44E0A" w:rsidRPr="00330A2F">
        <w:rPr>
          <w:rFonts w:ascii="Arial" w:hAnsi="Arial" w:cs="Arial"/>
          <w:b/>
          <w:bCs/>
          <w:sz w:val="28"/>
          <w:szCs w:val="28"/>
        </w:rPr>
        <w:t>A</w:t>
      </w:r>
      <w:r w:rsidR="00F44E0A" w:rsidRPr="00330A2F">
        <w:rPr>
          <w:rFonts w:ascii="Arial" w:hAnsi="Arial" w:cs="Arial"/>
          <w:sz w:val="28"/>
          <w:szCs w:val="28"/>
        </w:rPr>
        <w:t xml:space="preserve">nalysis, </w:t>
      </w:r>
      <w:r w:rsidR="00F44E0A" w:rsidRPr="00330A2F">
        <w:rPr>
          <w:rFonts w:ascii="Arial" w:hAnsi="Arial" w:cs="Arial"/>
          <w:b/>
          <w:bCs/>
          <w:sz w:val="28"/>
          <w:szCs w:val="28"/>
        </w:rPr>
        <w:t>I</w:t>
      </w:r>
      <w:r w:rsidR="00F44E0A" w:rsidRPr="00330A2F">
        <w:rPr>
          <w:rFonts w:ascii="Arial" w:hAnsi="Arial" w:cs="Arial"/>
          <w:sz w:val="28"/>
          <w:szCs w:val="28"/>
        </w:rPr>
        <w:t xml:space="preserve">dentification and </w:t>
      </w:r>
      <w:r w:rsidR="00F44E0A" w:rsidRPr="00330A2F">
        <w:rPr>
          <w:rFonts w:ascii="Arial" w:hAnsi="Arial" w:cs="Arial"/>
          <w:b/>
          <w:bCs/>
          <w:sz w:val="28"/>
          <w:szCs w:val="28"/>
        </w:rPr>
        <w:t>R</w:t>
      </w:r>
      <w:r w:rsidR="00F44E0A" w:rsidRPr="00330A2F">
        <w:rPr>
          <w:rFonts w:ascii="Arial" w:hAnsi="Arial" w:cs="Arial"/>
          <w:sz w:val="28"/>
          <w:szCs w:val="28"/>
        </w:rPr>
        <w:t>eview and is illustrated below.</w:t>
      </w:r>
    </w:p>
    <w:p w14:paraId="2923F062" w14:textId="3C9A2A3E" w:rsidR="00FD5786" w:rsidRPr="00330A2F" w:rsidRDefault="00FD5786" w:rsidP="00F44E0A">
      <w:pPr>
        <w:jc w:val="both"/>
        <w:rPr>
          <w:rFonts w:ascii="Arial" w:hAnsi="Arial" w:cs="Arial"/>
          <w:sz w:val="28"/>
          <w:szCs w:val="28"/>
        </w:rPr>
      </w:pPr>
      <w:r>
        <w:rPr>
          <w:rFonts w:ascii="Arial" w:hAnsi="Arial" w:cs="Arial"/>
          <w:noProof/>
          <w:sz w:val="28"/>
          <w:szCs w:val="28"/>
          <w14:ligatures w14:val="none"/>
        </w:rPr>
        <w:drawing>
          <wp:inline distT="0" distB="0" distL="0" distR="0" wp14:anchorId="015360AC" wp14:editId="2F858A70">
            <wp:extent cx="6621780" cy="5280660"/>
            <wp:effectExtent l="0" t="0" r="7620" b="0"/>
            <wp:docPr id="1919127292" name="Picture 23" descr="Diagram outlining the application of the FAIR model to strengthen ADP/LLE engagement. &#10;&#10;The Fair Model is depicted in a circular diagram to demonstrate the order in which to apply the model. &#10;&#10;Beginning with F which stands for facts, the model asks for a shared understanding of LLE concerns drawn from life experience of substance use. &#10;&#10;Moving on to A which stands for analysis, the model asks for an analysis of the relevant human rights using the Charter and guidance. &#10;&#10;Moving on to I which stands for identification, the model asks for the co-production of an action plan using the Panel Checklist and Indicators.  &#10;&#10;Finally the models ends with R which stands for review. At this stage the model asks for the review of outcomes using PANEL Checklist Indicator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27292" name="Picture 23" descr="Diagram outlining the application of the FAIR model to strengthen ADP/LLE engagement. &#10;&#10;The Fair Model is depicted in a circular diagram to demonstrate the order in which to apply the model. &#10;&#10;Beginning with F which stands for facts, the model asks for a shared understanding of LLE concerns drawn from life experience of substance use. &#10;&#10;Moving on to A which stands for analysis, the model asks for an analysis of the relevant human rights using the Charter and guidance. &#10;&#10;Moving on to I which stands for identification, the model asks for the co-production of an action plan using the Panel Checklist and Indicators.  &#10;&#10;Finally the models ends with R which stands for review. At this stage the model asks for the review of outcomes using PANEL Checklist Indicators. &#10;"/>
                    <pic:cNvPicPr/>
                  </pic:nvPicPr>
                  <pic:blipFill>
                    <a:blip r:embed="rId8">
                      <a:extLst>
                        <a:ext uri="{28A0092B-C50C-407E-A947-70E740481C1C}">
                          <a14:useLocalDpi xmlns:a14="http://schemas.microsoft.com/office/drawing/2010/main" val="0"/>
                        </a:ext>
                      </a:extLst>
                    </a:blip>
                    <a:stretch>
                      <a:fillRect/>
                    </a:stretch>
                  </pic:blipFill>
                  <pic:spPr>
                    <a:xfrm>
                      <a:off x="0" y="0"/>
                      <a:ext cx="6621780" cy="5280660"/>
                    </a:xfrm>
                    <a:prstGeom prst="rect">
                      <a:avLst/>
                    </a:prstGeom>
                  </pic:spPr>
                </pic:pic>
              </a:graphicData>
            </a:graphic>
          </wp:inline>
        </w:drawing>
      </w:r>
    </w:p>
    <w:p w14:paraId="1675AEB7" w14:textId="4952F0F3" w:rsidR="4CEA1329" w:rsidRPr="00330A2F" w:rsidRDefault="4CEA1329" w:rsidP="4CEA1329">
      <w:pPr>
        <w:jc w:val="both"/>
        <w:rPr>
          <w:rFonts w:ascii="Arial" w:hAnsi="Arial" w:cs="Arial"/>
          <w:b/>
          <w:bCs/>
          <w:sz w:val="28"/>
          <w:szCs w:val="28"/>
        </w:rPr>
      </w:pPr>
    </w:p>
    <w:p w14:paraId="737BA219" w14:textId="4C02AC8F" w:rsidR="4F724B31" w:rsidRPr="00330A2F" w:rsidRDefault="4B14E0F9" w:rsidP="00816AAD">
      <w:pPr>
        <w:rPr>
          <w:rFonts w:ascii="Arial" w:hAnsi="Arial" w:cs="Arial"/>
          <w:sz w:val="28"/>
          <w:szCs w:val="28"/>
        </w:rPr>
      </w:pPr>
      <w:r w:rsidRPr="00330A2F">
        <w:rPr>
          <w:rFonts w:ascii="Arial" w:hAnsi="Arial" w:cs="Arial"/>
          <w:sz w:val="28"/>
          <w:szCs w:val="28"/>
        </w:rPr>
        <w:t xml:space="preserve">The FAIR Model </w:t>
      </w:r>
      <w:r w:rsidR="4E7BC17F" w:rsidRPr="00330A2F">
        <w:rPr>
          <w:rFonts w:ascii="Arial" w:hAnsi="Arial" w:cs="Arial"/>
          <w:sz w:val="28"/>
          <w:szCs w:val="28"/>
        </w:rPr>
        <w:t>is applied through taking the following steps.</w:t>
      </w:r>
    </w:p>
    <w:p w14:paraId="4A4590C8" w14:textId="74B51464" w:rsidR="00F44E0A" w:rsidRPr="00330A2F" w:rsidRDefault="4B14E0F9" w:rsidP="00CD472C">
      <w:pPr>
        <w:pStyle w:val="Heading2"/>
        <w:numPr>
          <w:ilvl w:val="0"/>
          <w:numId w:val="0"/>
        </w:numPr>
      </w:pPr>
      <w:r w:rsidRPr="00330A2F">
        <w:t>Key recommendations are for LLE groups and ADPs together to take the following four steps:</w:t>
      </w:r>
    </w:p>
    <w:p w14:paraId="7F472886" w14:textId="06AD062A" w:rsidR="00F44E0A" w:rsidRPr="00330A2F" w:rsidRDefault="00F44E0A" w:rsidP="00330A2F">
      <w:pPr>
        <w:pStyle w:val="ListParagraph"/>
        <w:numPr>
          <w:ilvl w:val="0"/>
          <w:numId w:val="1"/>
        </w:numPr>
        <w:ind w:left="360"/>
        <w:contextualSpacing w:val="0"/>
        <w:jc w:val="both"/>
        <w:rPr>
          <w:rFonts w:ascii="Arial" w:hAnsi="Arial" w:cs="Arial"/>
          <w:sz w:val="28"/>
          <w:szCs w:val="28"/>
        </w:rPr>
      </w:pPr>
      <w:r w:rsidRPr="00330A2F">
        <w:rPr>
          <w:rFonts w:ascii="Arial" w:hAnsi="Arial" w:cs="Arial"/>
          <w:b/>
          <w:bCs/>
          <w:sz w:val="28"/>
          <w:szCs w:val="28"/>
        </w:rPr>
        <w:t>F</w:t>
      </w:r>
      <w:r w:rsidRPr="00330A2F">
        <w:rPr>
          <w:rFonts w:ascii="Arial" w:hAnsi="Arial" w:cs="Arial"/>
          <w:sz w:val="28"/>
          <w:szCs w:val="28"/>
        </w:rPr>
        <w:t>acts – gather an evidence base on the life experience of people affected by substance use.</w:t>
      </w:r>
    </w:p>
    <w:p w14:paraId="67EA89EC" w14:textId="3087FB30" w:rsidR="00F44E0A" w:rsidRPr="00330A2F" w:rsidRDefault="00F44E0A" w:rsidP="00330A2F">
      <w:pPr>
        <w:pStyle w:val="ListParagraph"/>
        <w:numPr>
          <w:ilvl w:val="0"/>
          <w:numId w:val="10"/>
        </w:numPr>
        <w:ind w:left="1001" w:hanging="357"/>
        <w:contextualSpacing w:val="0"/>
        <w:jc w:val="both"/>
        <w:rPr>
          <w:rFonts w:ascii="Arial" w:hAnsi="Arial" w:cs="Arial"/>
          <w:sz w:val="28"/>
          <w:szCs w:val="28"/>
        </w:rPr>
      </w:pPr>
      <w:r w:rsidRPr="00330A2F">
        <w:rPr>
          <w:rFonts w:ascii="Arial" w:hAnsi="Arial" w:cs="Arial"/>
          <w:sz w:val="28"/>
          <w:szCs w:val="28"/>
        </w:rPr>
        <w:t>develop a setting where the LLE Panel can bring its concerns, based upon the life experience of people affected by substance use, about the design, delivery, monitoring, and outcomes of support services,</w:t>
      </w:r>
    </w:p>
    <w:p w14:paraId="1DE9ADBA" w14:textId="7F1F4D16" w:rsidR="00F44E0A" w:rsidRDefault="00F44E0A" w:rsidP="00330A2F">
      <w:pPr>
        <w:pStyle w:val="ListParagraph"/>
        <w:numPr>
          <w:ilvl w:val="0"/>
          <w:numId w:val="10"/>
        </w:numPr>
        <w:ind w:left="1001" w:hanging="357"/>
        <w:contextualSpacing w:val="0"/>
        <w:jc w:val="both"/>
        <w:rPr>
          <w:rFonts w:ascii="Arial" w:hAnsi="Arial" w:cs="Arial"/>
          <w:sz w:val="28"/>
          <w:szCs w:val="28"/>
        </w:rPr>
      </w:pPr>
      <w:r w:rsidRPr="00330A2F">
        <w:rPr>
          <w:rFonts w:ascii="Arial" w:hAnsi="Arial" w:cs="Arial"/>
          <w:sz w:val="28"/>
          <w:szCs w:val="28"/>
        </w:rPr>
        <w:lastRenderedPageBreak/>
        <w:t>this should be a collaborative and non-adversarial setting, user-friendly and not bureaucratic and the agenda prepared and agreed together by the ADP and LLE Panel.</w:t>
      </w:r>
    </w:p>
    <w:p w14:paraId="3A105CC6" w14:textId="77777777" w:rsidR="00330A2F" w:rsidRPr="00330A2F" w:rsidRDefault="00330A2F" w:rsidP="00330A2F">
      <w:pPr>
        <w:pStyle w:val="ListParagraph"/>
        <w:spacing w:after="0"/>
        <w:ind w:left="1001"/>
        <w:contextualSpacing w:val="0"/>
        <w:jc w:val="both"/>
        <w:rPr>
          <w:rFonts w:ascii="Arial" w:hAnsi="Arial" w:cs="Arial"/>
          <w:sz w:val="28"/>
          <w:szCs w:val="28"/>
        </w:rPr>
      </w:pPr>
    </w:p>
    <w:p w14:paraId="28BA6C7F" w14:textId="7EDA5D99" w:rsidR="00F44E0A" w:rsidRPr="00330A2F" w:rsidRDefault="00F44E0A" w:rsidP="00330A2F">
      <w:pPr>
        <w:pStyle w:val="ListParagraph"/>
        <w:numPr>
          <w:ilvl w:val="0"/>
          <w:numId w:val="1"/>
        </w:numPr>
        <w:ind w:left="360" w:hanging="357"/>
        <w:contextualSpacing w:val="0"/>
        <w:jc w:val="both"/>
        <w:rPr>
          <w:rFonts w:ascii="Arial" w:hAnsi="Arial" w:cs="Arial"/>
          <w:sz w:val="28"/>
          <w:szCs w:val="28"/>
        </w:rPr>
      </w:pPr>
      <w:r w:rsidRPr="00330A2F">
        <w:rPr>
          <w:rFonts w:ascii="Arial" w:hAnsi="Arial" w:cs="Arial"/>
          <w:b/>
          <w:bCs/>
          <w:sz w:val="28"/>
          <w:szCs w:val="28"/>
        </w:rPr>
        <w:t>A</w:t>
      </w:r>
      <w:r w:rsidRPr="00330A2F">
        <w:rPr>
          <w:rFonts w:ascii="Arial" w:hAnsi="Arial" w:cs="Arial"/>
          <w:sz w:val="28"/>
          <w:szCs w:val="28"/>
        </w:rPr>
        <w:t>nalysis – reach a shared understanding of the rights at stake.</w:t>
      </w:r>
    </w:p>
    <w:p w14:paraId="12E11942" w14:textId="77777777" w:rsidR="00F44E0A" w:rsidRPr="00330A2F" w:rsidRDefault="00F44E0A" w:rsidP="00330A2F">
      <w:pPr>
        <w:pStyle w:val="ListParagraph"/>
        <w:numPr>
          <w:ilvl w:val="0"/>
          <w:numId w:val="11"/>
        </w:numPr>
        <w:ind w:left="1080" w:hanging="357"/>
        <w:contextualSpacing w:val="0"/>
        <w:jc w:val="both"/>
        <w:rPr>
          <w:rFonts w:ascii="Arial" w:hAnsi="Arial" w:cs="Arial"/>
          <w:sz w:val="28"/>
          <w:szCs w:val="28"/>
        </w:rPr>
      </w:pPr>
      <w:r w:rsidRPr="00330A2F">
        <w:rPr>
          <w:rFonts w:ascii="Arial" w:hAnsi="Arial" w:cs="Arial"/>
          <w:sz w:val="28"/>
          <w:szCs w:val="28"/>
        </w:rPr>
        <w:t xml:space="preserve">once there is a shared understanding of the concerns reference should be made to the Charter of Rights for guidance on any rights which may be at stake, </w:t>
      </w:r>
    </w:p>
    <w:p w14:paraId="6092B9A3" w14:textId="77777777" w:rsidR="00F44E0A" w:rsidRPr="00330A2F" w:rsidRDefault="00F44E0A" w:rsidP="00330A2F">
      <w:pPr>
        <w:pStyle w:val="ListParagraph"/>
        <w:numPr>
          <w:ilvl w:val="0"/>
          <w:numId w:val="11"/>
        </w:numPr>
        <w:ind w:left="1080" w:hanging="357"/>
        <w:contextualSpacing w:val="0"/>
        <w:jc w:val="both"/>
        <w:rPr>
          <w:rFonts w:ascii="Arial" w:hAnsi="Arial" w:cs="Arial"/>
          <w:sz w:val="28"/>
          <w:szCs w:val="28"/>
        </w:rPr>
      </w:pPr>
      <w:r w:rsidRPr="00330A2F">
        <w:rPr>
          <w:rFonts w:ascii="Arial" w:hAnsi="Arial" w:cs="Arial"/>
          <w:sz w:val="28"/>
          <w:szCs w:val="28"/>
        </w:rPr>
        <w:t>for example, if the right to the highest attainable standard of physical and mental health is at stake then consideration should be given to its requirements of</w:t>
      </w:r>
      <w:r w:rsidRPr="00330A2F">
        <w:rPr>
          <w:rFonts w:ascii="Arial" w:hAnsi="Arial" w:cs="Arial"/>
          <w:i/>
          <w:iCs/>
          <w:sz w:val="28"/>
          <w:szCs w:val="28"/>
        </w:rPr>
        <w:t xml:space="preserve"> </w:t>
      </w:r>
      <w:r w:rsidRPr="00B86EAB">
        <w:rPr>
          <w:rFonts w:ascii="Arial" w:hAnsi="Arial" w:cs="Arial"/>
          <w:b/>
          <w:bCs/>
          <w:sz w:val="28"/>
          <w:szCs w:val="28"/>
        </w:rPr>
        <w:t>availability</w:t>
      </w:r>
      <w:r w:rsidRPr="00330A2F">
        <w:rPr>
          <w:rFonts w:ascii="Arial" w:hAnsi="Arial" w:cs="Arial"/>
          <w:i/>
          <w:iCs/>
          <w:sz w:val="28"/>
          <w:szCs w:val="28"/>
        </w:rPr>
        <w:t xml:space="preserve">, </w:t>
      </w:r>
      <w:r w:rsidRPr="00B86EAB">
        <w:rPr>
          <w:rFonts w:ascii="Arial" w:hAnsi="Arial" w:cs="Arial"/>
          <w:b/>
          <w:bCs/>
          <w:sz w:val="28"/>
          <w:szCs w:val="28"/>
        </w:rPr>
        <w:t>accessibility,</w:t>
      </w:r>
      <w:r w:rsidRPr="00330A2F">
        <w:rPr>
          <w:rFonts w:ascii="Arial" w:hAnsi="Arial" w:cs="Arial"/>
          <w:i/>
          <w:iCs/>
          <w:sz w:val="28"/>
          <w:szCs w:val="28"/>
        </w:rPr>
        <w:t xml:space="preserve"> </w:t>
      </w:r>
      <w:r w:rsidRPr="00B86EAB">
        <w:rPr>
          <w:rFonts w:ascii="Arial" w:hAnsi="Arial" w:cs="Arial"/>
          <w:b/>
          <w:bCs/>
          <w:sz w:val="28"/>
          <w:szCs w:val="28"/>
        </w:rPr>
        <w:t>acceptability</w:t>
      </w:r>
      <w:r w:rsidRPr="00330A2F">
        <w:rPr>
          <w:rFonts w:ascii="Arial" w:hAnsi="Arial" w:cs="Arial"/>
          <w:i/>
          <w:iCs/>
          <w:sz w:val="28"/>
          <w:szCs w:val="28"/>
        </w:rPr>
        <w:t>,</w:t>
      </w:r>
      <w:r w:rsidRPr="00330A2F">
        <w:rPr>
          <w:rFonts w:ascii="Arial" w:hAnsi="Arial" w:cs="Arial"/>
          <w:sz w:val="28"/>
          <w:szCs w:val="28"/>
        </w:rPr>
        <w:t xml:space="preserve"> and </w:t>
      </w:r>
      <w:r w:rsidRPr="00B86EAB">
        <w:rPr>
          <w:rFonts w:ascii="Arial" w:hAnsi="Arial" w:cs="Arial"/>
          <w:b/>
          <w:bCs/>
          <w:sz w:val="28"/>
          <w:szCs w:val="28"/>
        </w:rPr>
        <w:t>quality</w:t>
      </w:r>
      <w:r w:rsidRPr="00330A2F">
        <w:rPr>
          <w:rFonts w:ascii="Arial" w:hAnsi="Arial" w:cs="Arial"/>
          <w:sz w:val="28"/>
          <w:szCs w:val="28"/>
        </w:rPr>
        <w:t xml:space="preserve"> of support services.  </w:t>
      </w:r>
    </w:p>
    <w:p w14:paraId="77E8990C" w14:textId="77777777" w:rsidR="00F44E0A" w:rsidRPr="00330A2F" w:rsidRDefault="00F44E0A" w:rsidP="00F44E0A">
      <w:pPr>
        <w:pStyle w:val="ListParagraph"/>
        <w:jc w:val="both"/>
        <w:rPr>
          <w:rFonts w:ascii="Arial" w:hAnsi="Arial" w:cs="Arial"/>
          <w:sz w:val="28"/>
          <w:szCs w:val="28"/>
        </w:rPr>
      </w:pPr>
    </w:p>
    <w:p w14:paraId="314464B6" w14:textId="30447059" w:rsidR="00F44E0A" w:rsidRPr="00330A2F" w:rsidRDefault="00F44E0A" w:rsidP="00330A2F">
      <w:pPr>
        <w:pStyle w:val="ListParagraph"/>
        <w:numPr>
          <w:ilvl w:val="0"/>
          <w:numId w:val="1"/>
        </w:numPr>
        <w:ind w:left="360"/>
        <w:contextualSpacing w:val="0"/>
        <w:jc w:val="both"/>
        <w:rPr>
          <w:rFonts w:ascii="Arial" w:hAnsi="Arial" w:cs="Arial"/>
          <w:sz w:val="28"/>
          <w:szCs w:val="28"/>
        </w:rPr>
      </w:pPr>
      <w:r w:rsidRPr="00330A2F">
        <w:rPr>
          <w:rFonts w:ascii="Arial" w:hAnsi="Arial" w:cs="Arial"/>
          <w:b/>
          <w:bCs/>
          <w:sz w:val="28"/>
          <w:szCs w:val="28"/>
        </w:rPr>
        <w:t>I</w:t>
      </w:r>
      <w:r w:rsidRPr="00330A2F">
        <w:rPr>
          <w:rFonts w:ascii="Arial" w:hAnsi="Arial" w:cs="Arial"/>
          <w:sz w:val="28"/>
          <w:szCs w:val="28"/>
        </w:rPr>
        <w:t xml:space="preserve">dentification – reach a shared understanding of an implementation plan. </w:t>
      </w:r>
    </w:p>
    <w:p w14:paraId="27D85DA1" w14:textId="4D5E6006" w:rsidR="00F44E0A" w:rsidRPr="00330A2F" w:rsidRDefault="00F44E0A" w:rsidP="00330A2F">
      <w:pPr>
        <w:pStyle w:val="ListParagraph"/>
        <w:numPr>
          <w:ilvl w:val="0"/>
          <w:numId w:val="11"/>
        </w:numPr>
        <w:ind w:left="1074" w:hanging="357"/>
        <w:contextualSpacing w:val="0"/>
        <w:jc w:val="both"/>
        <w:rPr>
          <w:rFonts w:ascii="Arial" w:hAnsi="Arial" w:cs="Arial"/>
          <w:sz w:val="28"/>
          <w:szCs w:val="28"/>
        </w:rPr>
      </w:pPr>
      <w:r w:rsidRPr="00330A2F">
        <w:rPr>
          <w:rFonts w:ascii="Arial" w:hAnsi="Arial" w:cs="Arial"/>
          <w:sz w:val="28"/>
          <w:szCs w:val="28"/>
        </w:rPr>
        <w:t>agree an implementation plan, drawing upon the Panel Principles Checklist and Indicators, on what needs to be done, how and by when to ensure that the rights are realised</w:t>
      </w:r>
      <w:r w:rsidR="00CB4DC3">
        <w:rPr>
          <w:rFonts w:ascii="Arial" w:hAnsi="Arial" w:cs="Arial"/>
          <w:sz w:val="28"/>
          <w:szCs w:val="28"/>
        </w:rPr>
        <w:t>,</w:t>
      </w:r>
    </w:p>
    <w:p w14:paraId="328CB637" w14:textId="77777777" w:rsidR="00F44E0A" w:rsidRPr="00330A2F" w:rsidRDefault="00F44E0A" w:rsidP="00330A2F">
      <w:pPr>
        <w:pStyle w:val="ListParagraph"/>
        <w:numPr>
          <w:ilvl w:val="0"/>
          <w:numId w:val="11"/>
        </w:numPr>
        <w:ind w:left="1074" w:hanging="357"/>
        <w:contextualSpacing w:val="0"/>
        <w:jc w:val="both"/>
        <w:rPr>
          <w:rFonts w:ascii="Arial" w:hAnsi="Arial" w:cs="Arial"/>
          <w:sz w:val="28"/>
          <w:szCs w:val="28"/>
        </w:rPr>
      </w:pPr>
      <w:r w:rsidRPr="00330A2F">
        <w:rPr>
          <w:rFonts w:ascii="Arial" w:hAnsi="Arial" w:cs="Arial"/>
          <w:sz w:val="28"/>
          <w:szCs w:val="28"/>
        </w:rPr>
        <w:t xml:space="preserve">for example, if it is the right to health which is at stake the plan should include concrete and targeted steps, prioritising those most subject to stigma and at risk, to ensure that the ADP and other relevant duty bearers use the maximum resources available to progressively improve the </w:t>
      </w:r>
      <w:r w:rsidRPr="00887570">
        <w:rPr>
          <w:rFonts w:ascii="Arial" w:hAnsi="Arial" w:cs="Arial"/>
          <w:b/>
          <w:bCs/>
          <w:sz w:val="28"/>
          <w:szCs w:val="28"/>
        </w:rPr>
        <w:t>availability,</w:t>
      </w:r>
      <w:r w:rsidRPr="00330A2F">
        <w:rPr>
          <w:rFonts w:ascii="Arial" w:hAnsi="Arial" w:cs="Arial"/>
          <w:i/>
          <w:iCs/>
          <w:sz w:val="28"/>
          <w:szCs w:val="28"/>
        </w:rPr>
        <w:t xml:space="preserve"> </w:t>
      </w:r>
      <w:r w:rsidRPr="009A36DB">
        <w:rPr>
          <w:rFonts w:ascii="Arial" w:hAnsi="Arial" w:cs="Arial"/>
          <w:b/>
          <w:bCs/>
          <w:sz w:val="28"/>
          <w:szCs w:val="28"/>
        </w:rPr>
        <w:t>accessibility,</w:t>
      </w:r>
      <w:r w:rsidRPr="00330A2F">
        <w:rPr>
          <w:rFonts w:ascii="Arial" w:hAnsi="Arial" w:cs="Arial"/>
          <w:sz w:val="28"/>
          <w:szCs w:val="28"/>
        </w:rPr>
        <w:t xml:space="preserve"> </w:t>
      </w:r>
      <w:r w:rsidRPr="009A36DB">
        <w:rPr>
          <w:rFonts w:ascii="Arial" w:hAnsi="Arial" w:cs="Arial"/>
          <w:b/>
          <w:bCs/>
          <w:sz w:val="28"/>
          <w:szCs w:val="28"/>
        </w:rPr>
        <w:t>acceptability</w:t>
      </w:r>
      <w:r w:rsidRPr="00330A2F">
        <w:rPr>
          <w:rFonts w:ascii="Arial" w:hAnsi="Arial" w:cs="Arial"/>
          <w:sz w:val="28"/>
          <w:szCs w:val="28"/>
        </w:rPr>
        <w:t xml:space="preserve">, and </w:t>
      </w:r>
      <w:r w:rsidRPr="009A36DB">
        <w:rPr>
          <w:rFonts w:ascii="Arial" w:hAnsi="Arial" w:cs="Arial"/>
          <w:b/>
          <w:bCs/>
          <w:sz w:val="28"/>
          <w:szCs w:val="28"/>
        </w:rPr>
        <w:t>quality</w:t>
      </w:r>
      <w:r w:rsidRPr="00330A2F">
        <w:rPr>
          <w:rFonts w:ascii="Arial" w:hAnsi="Arial" w:cs="Arial"/>
          <w:sz w:val="28"/>
          <w:szCs w:val="28"/>
        </w:rPr>
        <w:t xml:space="preserve"> of support services. </w:t>
      </w:r>
    </w:p>
    <w:p w14:paraId="5B3735D1" w14:textId="77777777" w:rsidR="00F44E0A" w:rsidRPr="00330A2F" w:rsidRDefault="00F44E0A" w:rsidP="00330A2F">
      <w:pPr>
        <w:pStyle w:val="ListParagraph"/>
        <w:numPr>
          <w:ilvl w:val="0"/>
          <w:numId w:val="11"/>
        </w:numPr>
        <w:ind w:left="1074" w:hanging="357"/>
        <w:contextualSpacing w:val="0"/>
        <w:jc w:val="both"/>
        <w:rPr>
          <w:rFonts w:ascii="Arial" w:hAnsi="Arial" w:cs="Arial"/>
          <w:sz w:val="28"/>
          <w:szCs w:val="28"/>
        </w:rPr>
      </w:pPr>
      <w:r w:rsidRPr="00330A2F">
        <w:rPr>
          <w:rFonts w:ascii="Arial" w:hAnsi="Arial" w:cs="Arial"/>
          <w:sz w:val="28"/>
          <w:szCs w:val="28"/>
        </w:rPr>
        <w:t xml:space="preserve">for availability, this may mean increasing the choice of available services, </w:t>
      </w:r>
    </w:p>
    <w:p w14:paraId="70188AF5" w14:textId="77777777" w:rsidR="00F44E0A" w:rsidRPr="00330A2F" w:rsidRDefault="00F44E0A" w:rsidP="00330A2F">
      <w:pPr>
        <w:pStyle w:val="ListParagraph"/>
        <w:numPr>
          <w:ilvl w:val="0"/>
          <w:numId w:val="11"/>
        </w:numPr>
        <w:ind w:left="1074" w:hanging="357"/>
        <w:contextualSpacing w:val="0"/>
        <w:jc w:val="both"/>
        <w:rPr>
          <w:rFonts w:ascii="Arial" w:hAnsi="Arial" w:cs="Arial"/>
          <w:sz w:val="28"/>
          <w:szCs w:val="28"/>
        </w:rPr>
      </w:pPr>
      <w:r w:rsidRPr="00330A2F">
        <w:rPr>
          <w:rFonts w:ascii="Arial" w:hAnsi="Arial" w:cs="Arial"/>
          <w:sz w:val="28"/>
          <w:szCs w:val="28"/>
        </w:rPr>
        <w:t xml:space="preserve">for accessibility, this may mean locating relevant services in a community hub, </w:t>
      </w:r>
    </w:p>
    <w:p w14:paraId="7897D8C1" w14:textId="77777777" w:rsidR="00F44E0A" w:rsidRPr="00330A2F" w:rsidRDefault="00F44E0A" w:rsidP="00330A2F">
      <w:pPr>
        <w:pStyle w:val="ListParagraph"/>
        <w:numPr>
          <w:ilvl w:val="0"/>
          <w:numId w:val="11"/>
        </w:numPr>
        <w:ind w:left="1074" w:hanging="357"/>
        <w:contextualSpacing w:val="0"/>
        <w:jc w:val="both"/>
        <w:rPr>
          <w:rFonts w:ascii="Arial" w:hAnsi="Arial" w:cs="Arial"/>
          <w:sz w:val="28"/>
          <w:szCs w:val="28"/>
        </w:rPr>
      </w:pPr>
      <w:r w:rsidRPr="00330A2F">
        <w:rPr>
          <w:rFonts w:ascii="Arial" w:hAnsi="Arial" w:cs="Arial"/>
          <w:sz w:val="28"/>
          <w:szCs w:val="28"/>
        </w:rPr>
        <w:t xml:space="preserve">for acceptability, this may mean providing more child-friendly or family-friendly services, and </w:t>
      </w:r>
    </w:p>
    <w:p w14:paraId="746358C6" w14:textId="77777777" w:rsidR="00F44E0A" w:rsidRPr="00330A2F" w:rsidRDefault="00F44E0A" w:rsidP="00330A2F">
      <w:pPr>
        <w:pStyle w:val="ListParagraph"/>
        <w:numPr>
          <w:ilvl w:val="0"/>
          <w:numId w:val="11"/>
        </w:numPr>
        <w:ind w:left="1074" w:hanging="357"/>
        <w:contextualSpacing w:val="0"/>
        <w:jc w:val="both"/>
        <w:rPr>
          <w:rFonts w:ascii="Arial" w:hAnsi="Arial" w:cs="Arial"/>
          <w:sz w:val="28"/>
          <w:szCs w:val="28"/>
        </w:rPr>
      </w:pPr>
      <w:r w:rsidRPr="00330A2F">
        <w:rPr>
          <w:rFonts w:ascii="Arial" w:hAnsi="Arial" w:cs="Arial"/>
          <w:sz w:val="28"/>
          <w:szCs w:val="28"/>
        </w:rPr>
        <w:t xml:space="preserve">for quality it may mean improving trauma informed delivery of services. </w:t>
      </w:r>
    </w:p>
    <w:p w14:paraId="22519D17" w14:textId="4394FC95" w:rsidR="00F44E0A" w:rsidRPr="00330A2F" w:rsidRDefault="00F44E0A" w:rsidP="00330A2F">
      <w:pPr>
        <w:pStyle w:val="ListParagraph"/>
        <w:ind w:left="360"/>
        <w:jc w:val="both"/>
        <w:rPr>
          <w:rFonts w:ascii="Arial" w:hAnsi="Arial" w:cs="Arial"/>
          <w:sz w:val="28"/>
          <w:szCs w:val="28"/>
        </w:rPr>
      </w:pPr>
      <w:r w:rsidRPr="00330A2F">
        <w:rPr>
          <w:rFonts w:ascii="Arial" w:hAnsi="Arial" w:cs="Arial"/>
          <w:sz w:val="28"/>
          <w:szCs w:val="28"/>
        </w:rPr>
        <w:t>Reference should be made to the Panel Principles Checklist and Indicators which can be adapted as appropriate in the local circumstances.</w:t>
      </w:r>
    </w:p>
    <w:p w14:paraId="30044A42" w14:textId="77777777" w:rsidR="00F44E0A" w:rsidRPr="00330A2F" w:rsidRDefault="00F44E0A" w:rsidP="00F44E0A">
      <w:pPr>
        <w:pStyle w:val="ListParagraph"/>
        <w:jc w:val="both"/>
        <w:rPr>
          <w:rFonts w:ascii="Arial" w:hAnsi="Arial" w:cs="Arial"/>
          <w:sz w:val="28"/>
          <w:szCs w:val="28"/>
        </w:rPr>
      </w:pPr>
    </w:p>
    <w:p w14:paraId="2FA183B8" w14:textId="5CA77D88" w:rsidR="00F44E0A" w:rsidRPr="00330A2F" w:rsidRDefault="00F44E0A" w:rsidP="00330A2F">
      <w:pPr>
        <w:pStyle w:val="ListParagraph"/>
        <w:numPr>
          <w:ilvl w:val="0"/>
          <w:numId w:val="1"/>
        </w:numPr>
        <w:ind w:left="357" w:hanging="357"/>
        <w:contextualSpacing w:val="0"/>
        <w:jc w:val="both"/>
        <w:rPr>
          <w:rFonts w:ascii="Arial" w:hAnsi="Arial" w:cs="Arial"/>
          <w:sz w:val="28"/>
          <w:szCs w:val="28"/>
        </w:rPr>
      </w:pPr>
      <w:r w:rsidRPr="00330A2F">
        <w:rPr>
          <w:rFonts w:ascii="Arial" w:hAnsi="Arial" w:cs="Arial"/>
          <w:b/>
          <w:bCs/>
          <w:sz w:val="28"/>
          <w:szCs w:val="28"/>
        </w:rPr>
        <w:t>R</w:t>
      </w:r>
      <w:r w:rsidRPr="00330A2F">
        <w:rPr>
          <w:rFonts w:ascii="Arial" w:hAnsi="Arial" w:cs="Arial"/>
          <w:sz w:val="28"/>
          <w:szCs w:val="28"/>
        </w:rPr>
        <w:t xml:space="preserve">eview – reach a shared understanding of progress indicators including an evaluation of the outcomes based upon the life experience of people affected by substance use. </w:t>
      </w:r>
    </w:p>
    <w:p w14:paraId="6246F718" w14:textId="45AAB3C0" w:rsidR="00F44E0A" w:rsidRPr="00330A2F" w:rsidRDefault="00F44E0A" w:rsidP="00330A2F">
      <w:pPr>
        <w:pStyle w:val="ListParagraph"/>
        <w:numPr>
          <w:ilvl w:val="0"/>
          <w:numId w:val="12"/>
        </w:numPr>
        <w:ind w:left="1077" w:hanging="357"/>
        <w:contextualSpacing w:val="0"/>
        <w:jc w:val="both"/>
        <w:rPr>
          <w:rFonts w:ascii="Arial" w:hAnsi="Arial" w:cs="Arial"/>
          <w:sz w:val="28"/>
          <w:szCs w:val="28"/>
        </w:rPr>
      </w:pPr>
      <w:r w:rsidRPr="00330A2F">
        <w:rPr>
          <w:rFonts w:ascii="Arial" w:hAnsi="Arial" w:cs="Arial"/>
          <w:sz w:val="28"/>
          <w:szCs w:val="28"/>
        </w:rPr>
        <w:lastRenderedPageBreak/>
        <w:t xml:space="preserve">use agreed indicators, drawing from the Panel Principles Checklist and Indicators, to evaluate the outcomes, </w:t>
      </w:r>
    </w:p>
    <w:p w14:paraId="578237F9" w14:textId="77777777" w:rsidR="00F44E0A" w:rsidRPr="00330A2F" w:rsidRDefault="00F44E0A" w:rsidP="00330A2F">
      <w:pPr>
        <w:pStyle w:val="ListParagraph"/>
        <w:numPr>
          <w:ilvl w:val="0"/>
          <w:numId w:val="12"/>
        </w:numPr>
        <w:ind w:left="1077" w:hanging="357"/>
        <w:contextualSpacing w:val="0"/>
        <w:jc w:val="both"/>
        <w:rPr>
          <w:rFonts w:ascii="Arial" w:hAnsi="Arial" w:cs="Arial"/>
          <w:sz w:val="28"/>
          <w:szCs w:val="28"/>
        </w:rPr>
      </w:pPr>
      <w:r w:rsidRPr="00330A2F">
        <w:rPr>
          <w:rFonts w:ascii="Arial" w:hAnsi="Arial" w:cs="Arial"/>
          <w:sz w:val="28"/>
          <w:szCs w:val="28"/>
        </w:rPr>
        <w:t xml:space="preserve">these indicators should include all relevant factors such as learning from the experience of those people who are attempting to engage with services and those people who are not, </w:t>
      </w:r>
    </w:p>
    <w:p w14:paraId="39AA26A5" w14:textId="77777777" w:rsidR="00F44E0A" w:rsidRPr="00330A2F" w:rsidRDefault="00F44E0A" w:rsidP="00330A2F">
      <w:pPr>
        <w:pStyle w:val="ListParagraph"/>
        <w:numPr>
          <w:ilvl w:val="0"/>
          <w:numId w:val="12"/>
        </w:numPr>
        <w:ind w:left="1077" w:hanging="357"/>
        <w:contextualSpacing w:val="0"/>
        <w:jc w:val="both"/>
        <w:rPr>
          <w:rFonts w:ascii="Arial" w:hAnsi="Arial" w:cs="Arial"/>
          <w:sz w:val="28"/>
          <w:szCs w:val="28"/>
        </w:rPr>
      </w:pPr>
      <w:r w:rsidRPr="00330A2F">
        <w:rPr>
          <w:rFonts w:ascii="Arial" w:hAnsi="Arial" w:cs="Arial"/>
          <w:sz w:val="28"/>
          <w:szCs w:val="28"/>
        </w:rPr>
        <w:t xml:space="preserve">the available resources and a realistic timeline, </w:t>
      </w:r>
    </w:p>
    <w:p w14:paraId="09B5917D" w14:textId="18BC0853" w:rsidR="00330A2F" w:rsidRDefault="00F44E0A" w:rsidP="00CB4DC3">
      <w:pPr>
        <w:pStyle w:val="ListParagraph"/>
        <w:numPr>
          <w:ilvl w:val="0"/>
          <w:numId w:val="12"/>
        </w:numPr>
        <w:ind w:left="1077" w:hanging="357"/>
        <w:contextualSpacing w:val="0"/>
        <w:jc w:val="both"/>
        <w:rPr>
          <w:rFonts w:ascii="Arial" w:hAnsi="Arial" w:cs="Arial"/>
          <w:sz w:val="28"/>
          <w:szCs w:val="28"/>
        </w:rPr>
      </w:pPr>
      <w:r w:rsidRPr="00330A2F">
        <w:rPr>
          <w:rFonts w:ascii="Arial" w:hAnsi="Arial" w:cs="Arial"/>
          <w:sz w:val="28"/>
          <w:szCs w:val="28"/>
        </w:rPr>
        <w:t xml:space="preserve">this evaluation of outcomes will then help identify lessons to be learned by all. </w:t>
      </w:r>
    </w:p>
    <w:p w14:paraId="639E55AF" w14:textId="77777777" w:rsidR="00CB4DC3" w:rsidRPr="00CB4DC3" w:rsidRDefault="00CB4DC3" w:rsidP="00CB4DC3">
      <w:pPr>
        <w:spacing w:after="0"/>
        <w:jc w:val="both"/>
        <w:rPr>
          <w:rFonts w:ascii="Arial" w:hAnsi="Arial" w:cs="Arial"/>
          <w:sz w:val="28"/>
          <w:szCs w:val="28"/>
        </w:rPr>
      </w:pPr>
    </w:p>
    <w:p w14:paraId="4A9C6394" w14:textId="77777777" w:rsidR="00F44E0A" w:rsidRPr="00330A2F" w:rsidRDefault="00F44E0A" w:rsidP="00CB4DC3">
      <w:pPr>
        <w:spacing w:after="0"/>
        <w:jc w:val="both"/>
        <w:rPr>
          <w:rFonts w:ascii="Arial" w:hAnsi="Arial" w:cs="Arial"/>
          <w:sz w:val="28"/>
          <w:szCs w:val="28"/>
        </w:rPr>
      </w:pPr>
      <w:r w:rsidRPr="00330A2F">
        <w:rPr>
          <w:rFonts w:ascii="Arial" w:hAnsi="Arial" w:cs="Arial"/>
          <w:sz w:val="28"/>
          <w:szCs w:val="28"/>
        </w:rPr>
        <w:t xml:space="preserve">Concerns which emerge from this evaluation of outcomes will then, along with any new areas of concern of the LLE Panel, inform the next application of the FAIR process. The FAIR model is then to be understood as a continuous improvement cycle of support services for people affected by substance use.   </w:t>
      </w:r>
    </w:p>
    <w:p w14:paraId="6FD853C0" w14:textId="31501EB8" w:rsidR="00027C27" w:rsidRDefault="00027C27" w:rsidP="00B561C0"/>
    <w:p w14:paraId="584117F0" w14:textId="4D29D80E" w:rsidR="006E52ED" w:rsidRPr="009B7615" w:rsidRDefault="006E52ED" w:rsidP="006E52ED">
      <w:pPr>
        <w:pStyle w:val="Title"/>
      </w:pPr>
      <w:r>
        <w:t>End of document.</w:t>
      </w:r>
    </w:p>
    <w:sectPr w:rsidR="006E52ED" w:rsidRPr="009B7615" w:rsidSect="00CD472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DAAD" w14:textId="77777777" w:rsidR="0086521F" w:rsidRDefault="0086521F">
      <w:pPr>
        <w:spacing w:after="0" w:line="240" w:lineRule="auto"/>
      </w:pPr>
      <w:r>
        <w:separator/>
      </w:r>
    </w:p>
  </w:endnote>
  <w:endnote w:type="continuationSeparator" w:id="0">
    <w:p w14:paraId="01E28F0C" w14:textId="77777777" w:rsidR="0086521F" w:rsidRDefault="0086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65504116"/>
      <w:docPartObj>
        <w:docPartGallery w:val="Page Numbers (Bottom of Page)"/>
        <w:docPartUnique/>
      </w:docPartObj>
    </w:sdtPr>
    <w:sdtEndPr>
      <w:rPr>
        <w:noProof/>
      </w:rPr>
    </w:sdtEndPr>
    <w:sdtContent>
      <w:p w14:paraId="1DC84326" w14:textId="77777777" w:rsidR="00B45FC2" w:rsidRPr="00CB4DC3" w:rsidRDefault="00F44E0A">
        <w:pPr>
          <w:pStyle w:val="Footer"/>
          <w:jc w:val="right"/>
          <w:rPr>
            <w:sz w:val="20"/>
            <w:szCs w:val="20"/>
          </w:rPr>
        </w:pPr>
        <w:r w:rsidRPr="00CB4DC3">
          <w:rPr>
            <w:rFonts w:ascii="Arial" w:hAnsi="Arial" w:cs="Arial"/>
          </w:rPr>
          <w:fldChar w:fldCharType="begin"/>
        </w:r>
        <w:r w:rsidRPr="00CB4DC3">
          <w:rPr>
            <w:rFonts w:ascii="Arial" w:hAnsi="Arial" w:cs="Arial"/>
          </w:rPr>
          <w:instrText xml:space="preserve"> PAGE   \* MERGEFORMAT </w:instrText>
        </w:r>
        <w:r w:rsidRPr="00CB4DC3">
          <w:rPr>
            <w:rFonts w:ascii="Arial" w:hAnsi="Arial" w:cs="Arial"/>
          </w:rPr>
          <w:fldChar w:fldCharType="separate"/>
        </w:r>
        <w:r w:rsidRPr="00CB4DC3">
          <w:rPr>
            <w:rFonts w:ascii="Arial" w:hAnsi="Arial" w:cs="Arial"/>
            <w:noProof/>
          </w:rPr>
          <w:t>2</w:t>
        </w:r>
        <w:r w:rsidRPr="00CB4DC3">
          <w:rPr>
            <w:rFonts w:ascii="Arial" w:hAnsi="Arial" w:cs="Arial"/>
            <w:noProof/>
          </w:rPr>
          <w:fldChar w:fldCharType="end"/>
        </w:r>
      </w:p>
    </w:sdtContent>
  </w:sdt>
  <w:p w14:paraId="26C4D1C9" w14:textId="77777777" w:rsidR="00B45FC2" w:rsidRDefault="00B4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5207" w14:textId="77777777" w:rsidR="0086521F" w:rsidRDefault="0086521F">
      <w:pPr>
        <w:spacing w:after="0" w:line="240" w:lineRule="auto"/>
      </w:pPr>
      <w:r>
        <w:separator/>
      </w:r>
    </w:p>
  </w:footnote>
  <w:footnote w:type="continuationSeparator" w:id="0">
    <w:p w14:paraId="2FFA3316" w14:textId="77777777" w:rsidR="0086521F" w:rsidRDefault="0086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B9BF" w14:textId="50F696F3" w:rsidR="00696108" w:rsidRDefault="00696108" w:rsidP="00736E2D">
    <w:pPr>
      <w:tabs>
        <w:tab w:val="center" w:pos="4153"/>
        <w:tab w:val="right" w:pos="83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710790"/>
    <w:multiLevelType w:val="hybridMultilevel"/>
    <w:tmpl w:val="377AC8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392EF5"/>
    <w:multiLevelType w:val="multilevel"/>
    <w:tmpl w:val="45C8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2DFBB0"/>
    <w:multiLevelType w:val="hybridMultilevel"/>
    <w:tmpl w:val="05EECE58"/>
    <w:lvl w:ilvl="0" w:tplc="C1AEBFB8">
      <w:start w:val="1"/>
      <w:numFmt w:val="decimal"/>
      <w:lvlText w:val="%1."/>
      <w:lvlJc w:val="left"/>
      <w:pPr>
        <w:ind w:left="720" w:hanging="360"/>
      </w:pPr>
    </w:lvl>
    <w:lvl w:ilvl="1" w:tplc="7652B60E">
      <w:start w:val="1"/>
      <w:numFmt w:val="lowerLetter"/>
      <w:lvlText w:val="%2."/>
      <w:lvlJc w:val="left"/>
      <w:pPr>
        <w:ind w:left="1440" w:hanging="360"/>
      </w:pPr>
    </w:lvl>
    <w:lvl w:ilvl="2" w:tplc="CF4EA366">
      <w:start w:val="1"/>
      <w:numFmt w:val="lowerRoman"/>
      <w:lvlText w:val="%3."/>
      <w:lvlJc w:val="right"/>
      <w:pPr>
        <w:ind w:left="2160" w:hanging="180"/>
      </w:pPr>
    </w:lvl>
    <w:lvl w:ilvl="3" w:tplc="319A3C38">
      <w:start w:val="1"/>
      <w:numFmt w:val="decimal"/>
      <w:lvlText w:val="%4."/>
      <w:lvlJc w:val="left"/>
      <w:pPr>
        <w:ind w:left="2880" w:hanging="360"/>
      </w:pPr>
    </w:lvl>
    <w:lvl w:ilvl="4" w:tplc="AF4A4E56">
      <w:start w:val="1"/>
      <w:numFmt w:val="lowerLetter"/>
      <w:lvlText w:val="%5."/>
      <w:lvlJc w:val="left"/>
      <w:pPr>
        <w:ind w:left="3600" w:hanging="360"/>
      </w:pPr>
    </w:lvl>
    <w:lvl w:ilvl="5" w:tplc="8848AAD8">
      <w:start w:val="1"/>
      <w:numFmt w:val="lowerRoman"/>
      <w:lvlText w:val="%6."/>
      <w:lvlJc w:val="right"/>
      <w:pPr>
        <w:ind w:left="4320" w:hanging="180"/>
      </w:pPr>
    </w:lvl>
    <w:lvl w:ilvl="6" w:tplc="98C40434">
      <w:start w:val="1"/>
      <w:numFmt w:val="decimal"/>
      <w:lvlText w:val="%7."/>
      <w:lvlJc w:val="left"/>
      <w:pPr>
        <w:ind w:left="5040" w:hanging="360"/>
      </w:pPr>
    </w:lvl>
    <w:lvl w:ilvl="7" w:tplc="B99C3EDA">
      <w:start w:val="1"/>
      <w:numFmt w:val="lowerLetter"/>
      <w:lvlText w:val="%8."/>
      <w:lvlJc w:val="left"/>
      <w:pPr>
        <w:ind w:left="5760" w:hanging="360"/>
      </w:pPr>
    </w:lvl>
    <w:lvl w:ilvl="8" w:tplc="C5D2ABF6">
      <w:start w:val="1"/>
      <w:numFmt w:val="lowerRoman"/>
      <w:lvlText w:val="%9."/>
      <w:lvlJc w:val="right"/>
      <w:pPr>
        <w:ind w:left="6480" w:hanging="180"/>
      </w:pPr>
    </w:lvl>
  </w:abstractNum>
  <w:abstractNum w:abstractNumId="4" w15:restartNumberingAfterBreak="0">
    <w:nsid w:val="480A716E"/>
    <w:multiLevelType w:val="hybridMultilevel"/>
    <w:tmpl w:val="6DB8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46FFE"/>
    <w:multiLevelType w:val="multilevel"/>
    <w:tmpl w:val="4D3E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EE0A8A"/>
    <w:multiLevelType w:val="hybridMultilevel"/>
    <w:tmpl w:val="05B8B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439390C"/>
    <w:multiLevelType w:val="hybridMultilevel"/>
    <w:tmpl w:val="0E5410F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7A711091"/>
    <w:multiLevelType w:val="hybridMultilevel"/>
    <w:tmpl w:val="E238F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051744">
    <w:abstractNumId w:val="3"/>
  </w:num>
  <w:num w:numId="2" w16cid:durableId="1607539293">
    <w:abstractNumId w:val="8"/>
  </w:num>
  <w:num w:numId="3" w16cid:durableId="1450464711">
    <w:abstractNumId w:val="0"/>
  </w:num>
  <w:num w:numId="4" w16cid:durableId="1837914408">
    <w:abstractNumId w:val="0"/>
  </w:num>
  <w:num w:numId="5" w16cid:durableId="1238596218">
    <w:abstractNumId w:val="0"/>
  </w:num>
  <w:num w:numId="6" w16cid:durableId="2059694631">
    <w:abstractNumId w:val="8"/>
  </w:num>
  <w:num w:numId="7" w16cid:durableId="1825664074">
    <w:abstractNumId w:val="0"/>
  </w:num>
  <w:num w:numId="8" w16cid:durableId="1344405629">
    <w:abstractNumId w:val="4"/>
  </w:num>
  <w:num w:numId="9" w16cid:durableId="1566258348">
    <w:abstractNumId w:val="9"/>
  </w:num>
  <w:num w:numId="10" w16cid:durableId="1685397038">
    <w:abstractNumId w:val="7"/>
  </w:num>
  <w:num w:numId="11" w16cid:durableId="297345680">
    <w:abstractNumId w:val="1"/>
  </w:num>
  <w:num w:numId="12" w16cid:durableId="648173955">
    <w:abstractNumId w:val="6"/>
  </w:num>
  <w:num w:numId="13" w16cid:durableId="309679555">
    <w:abstractNumId w:val="5"/>
  </w:num>
  <w:num w:numId="14" w16cid:durableId="1939094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0A"/>
    <w:rsid w:val="00027C27"/>
    <w:rsid w:val="000660B3"/>
    <w:rsid w:val="000A0DA0"/>
    <w:rsid w:val="000C0CF4"/>
    <w:rsid w:val="001B2A62"/>
    <w:rsid w:val="00251D34"/>
    <w:rsid w:val="002615DA"/>
    <w:rsid w:val="00280753"/>
    <w:rsid w:val="00281579"/>
    <w:rsid w:val="00297505"/>
    <w:rsid w:val="00306C61"/>
    <w:rsid w:val="003200E1"/>
    <w:rsid w:val="00330A2F"/>
    <w:rsid w:val="0037582B"/>
    <w:rsid w:val="00386A73"/>
    <w:rsid w:val="00397568"/>
    <w:rsid w:val="0046110E"/>
    <w:rsid w:val="005A18D5"/>
    <w:rsid w:val="005A3CB6"/>
    <w:rsid w:val="006429AD"/>
    <w:rsid w:val="006621A7"/>
    <w:rsid w:val="00672F5D"/>
    <w:rsid w:val="006951F6"/>
    <w:rsid w:val="00696108"/>
    <w:rsid w:val="006B3607"/>
    <w:rsid w:val="006B7DDB"/>
    <w:rsid w:val="006E52ED"/>
    <w:rsid w:val="00706198"/>
    <w:rsid w:val="0071420E"/>
    <w:rsid w:val="00736E2D"/>
    <w:rsid w:val="00761E29"/>
    <w:rsid w:val="007A7EEE"/>
    <w:rsid w:val="007F3D4F"/>
    <w:rsid w:val="00816AAD"/>
    <w:rsid w:val="00820DF9"/>
    <w:rsid w:val="00857548"/>
    <w:rsid w:val="0086521F"/>
    <w:rsid w:val="00887570"/>
    <w:rsid w:val="00994D4A"/>
    <w:rsid w:val="009A36DB"/>
    <w:rsid w:val="009B7615"/>
    <w:rsid w:val="00A03F3F"/>
    <w:rsid w:val="00A431C0"/>
    <w:rsid w:val="00A46D72"/>
    <w:rsid w:val="00A50939"/>
    <w:rsid w:val="00B45FC2"/>
    <w:rsid w:val="00B51BDC"/>
    <w:rsid w:val="00B55BA1"/>
    <w:rsid w:val="00B561C0"/>
    <w:rsid w:val="00B773CE"/>
    <w:rsid w:val="00B854F6"/>
    <w:rsid w:val="00B86EAB"/>
    <w:rsid w:val="00C22DD4"/>
    <w:rsid w:val="00C7386F"/>
    <w:rsid w:val="00C91823"/>
    <w:rsid w:val="00CB143A"/>
    <w:rsid w:val="00CB3373"/>
    <w:rsid w:val="00CB4DC3"/>
    <w:rsid w:val="00CD472C"/>
    <w:rsid w:val="00CF561D"/>
    <w:rsid w:val="00D008AB"/>
    <w:rsid w:val="00D8693D"/>
    <w:rsid w:val="00DE3678"/>
    <w:rsid w:val="00DF4519"/>
    <w:rsid w:val="00E81000"/>
    <w:rsid w:val="00E93DF3"/>
    <w:rsid w:val="00F40526"/>
    <w:rsid w:val="00F44E0A"/>
    <w:rsid w:val="00FA4BC1"/>
    <w:rsid w:val="00FD5786"/>
    <w:rsid w:val="00FF31E9"/>
    <w:rsid w:val="0A4AE015"/>
    <w:rsid w:val="16BC0981"/>
    <w:rsid w:val="241AC951"/>
    <w:rsid w:val="2B70B3C5"/>
    <w:rsid w:val="34BF2C9C"/>
    <w:rsid w:val="4B14E0F9"/>
    <w:rsid w:val="4CEA1329"/>
    <w:rsid w:val="4E7BC17F"/>
    <w:rsid w:val="4F724B31"/>
    <w:rsid w:val="5065B4CB"/>
    <w:rsid w:val="5FC92B00"/>
    <w:rsid w:val="69810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A9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2C"/>
    <w:pPr>
      <w:spacing w:after="160" w:line="259" w:lineRule="auto"/>
    </w:pPr>
    <w:rPr>
      <w:rFonts w:eastAsiaTheme="minorHAnsi"/>
      <w:kern w:val="2"/>
      <w14:ligatures w14:val="standardContextual"/>
    </w:rPr>
  </w:style>
  <w:style w:type="paragraph" w:styleId="Heading1">
    <w:name w:val="heading 1"/>
    <w:aliases w:val="Outline1"/>
    <w:basedOn w:val="Normal"/>
    <w:next w:val="Normal"/>
    <w:link w:val="Heading1Char"/>
    <w:qFormat/>
    <w:rsid w:val="00CD472C"/>
    <w:pPr>
      <w:numPr>
        <w:numId w:val="7"/>
      </w:numPr>
      <w:outlineLvl w:val="0"/>
    </w:pPr>
    <w:rPr>
      <w:rFonts w:ascii="Arial" w:hAnsi="Arial"/>
      <w:b/>
      <w:kern w:val="24"/>
      <w:sz w:val="36"/>
    </w:rPr>
  </w:style>
  <w:style w:type="paragraph" w:styleId="Heading2">
    <w:name w:val="heading 2"/>
    <w:aliases w:val="Outline2"/>
    <w:basedOn w:val="Normal"/>
    <w:next w:val="Normal"/>
    <w:link w:val="Heading2Char"/>
    <w:qFormat/>
    <w:rsid w:val="00CD472C"/>
    <w:pPr>
      <w:numPr>
        <w:ilvl w:val="1"/>
        <w:numId w:val="7"/>
      </w:numPr>
      <w:outlineLvl w:val="1"/>
    </w:pPr>
    <w:rPr>
      <w:rFonts w:ascii="Arial" w:hAnsi="Arial"/>
      <w:b/>
      <w:kern w:val="24"/>
      <w:sz w:val="32"/>
    </w:rPr>
  </w:style>
  <w:style w:type="paragraph" w:styleId="Heading3">
    <w:name w:val="heading 3"/>
    <w:aliases w:val="Outline3"/>
    <w:basedOn w:val="Normal"/>
    <w:next w:val="Normal"/>
    <w:link w:val="Heading3Char"/>
    <w:qFormat/>
    <w:rsid w:val="00B773CE"/>
    <w:pPr>
      <w:numPr>
        <w:ilvl w:val="2"/>
        <w:numId w:val="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6"/>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D472C"/>
    <w:rPr>
      <w:rFonts w:ascii="Arial" w:eastAsiaTheme="minorHAnsi" w:hAnsi="Arial"/>
      <w:b/>
      <w:kern w:val="24"/>
      <w:sz w:val="36"/>
      <w14:ligatures w14:val="standardContextual"/>
    </w:rPr>
  </w:style>
  <w:style w:type="character" w:customStyle="1" w:styleId="Heading2Char">
    <w:name w:val="Heading 2 Char"/>
    <w:aliases w:val="Outline2 Char"/>
    <w:basedOn w:val="DefaultParagraphFont"/>
    <w:link w:val="Heading2"/>
    <w:rsid w:val="00CD472C"/>
    <w:rPr>
      <w:rFonts w:ascii="Arial" w:eastAsiaTheme="minorHAnsi" w:hAnsi="Arial"/>
      <w:b/>
      <w:kern w:val="24"/>
      <w:sz w:val="32"/>
      <w14:ligatures w14:val="standardContextual"/>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F44E0A"/>
    <w:pPr>
      <w:ind w:left="720"/>
      <w:contextualSpacing/>
    </w:pPr>
  </w:style>
  <w:style w:type="paragraph" w:styleId="NormalWeb">
    <w:name w:val="Normal (Web)"/>
    <w:basedOn w:val="Normal"/>
    <w:uiPriority w:val="99"/>
    <w:semiHidden/>
    <w:unhideWhenUsed/>
    <w:rsid w:val="00F44E0A"/>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paragraph">
    <w:name w:val="paragraph"/>
    <w:basedOn w:val="Normal"/>
    <w:rsid w:val="00F44E0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44E0A"/>
  </w:style>
  <w:style w:type="character" w:customStyle="1" w:styleId="normaltextrun">
    <w:name w:val="normaltextrun"/>
    <w:basedOn w:val="DefaultParagraphFont"/>
    <w:rsid w:val="00F44E0A"/>
  </w:style>
  <w:style w:type="character" w:styleId="CommentReference">
    <w:name w:val="annotation reference"/>
    <w:basedOn w:val="DefaultParagraphFont"/>
    <w:uiPriority w:val="99"/>
    <w:semiHidden/>
    <w:unhideWhenUsed/>
    <w:rsid w:val="00F44E0A"/>
    <w:rPr>
      <w:sz w:val="16"/>
      <w:szCs w:val="16"/>
    </w:rPr>
  </w:style>
  <w:style w:type="paragraph" w:styleId="CommentText">
    <w:name w:val="annotation text"/>
    <w:basedOn w:val="Normal"/>
    <w:link w:val="CommentTextChar"/>
    <w:uiPriority w:val="99"/>
    <w:unhideWhenUsed/>
    <w:rsid w:val="00F44E0A"/>
    <w:pPr>
      <w:spacing w:line="240" w:lineRule="auto"/>
    </w:pPr>
    <w:rPr>
      <w:sz w:val="20"/>
      <w:szCs w:val="20"/>
    </w:rPr>
  </w:style>
  <w:style w:type="character" w:customStyle="1" w:styleId="CommentTextChar">
    <w:name w:val="Comment Text Char"/>
    <w:basedOn w:val="DefaultParagraphFont"/>
    <w:link w:val="CommentText"/>
    <w:uiPriority w:val="99"/>
    <w:rsid w:val="00F44E0A"/>
    <w:rPr>
      <w:rFonts w:eastAsia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F44E0A"/>
    <w:rPr>
      <w:b/>
      <w:bCs/>
    </w:rPr>
  </w:style>
  <w:style w:type="character" w:customStyle="1" w:styleId="CommentSubjectChar">
    <w:name w:val="Comment Subject Char"/>
    <w:basedOn w:val="CommentTextChar"/>
    <w:link w:val="CommentSubject"/>
    <w:uiPriority w:val="99"/>
    <w:semiHidden/>
    <w:rsid w:val="00F44E0A"/>
    <w:rPr>
      <w:rFonts w:eastAsiaTheme="minorHAnsi"/>
      <w:b/>
      <w:bCs/>
      <w:kern w:val="2"/>
      <w:sz w:val="20"/>
      <w:szCs w:val="20"/>
      <w14:ligatures w14:val="standardContextual"/>
    </w:rPr>
  </w:style>
  <w:style w:type="paragraph" w:styleId="Title">
    <w:name w:val="Title"/>
    <w:basedOn w:val="Normal"/>
    <w:next w:val="Normal"/>
    <w:link w:val="TitleChar"/>
    <w:uiPriority w:val="10"/>
    <w:qFormat/>
    <w:rsid w:val="006E52ED"/>
    <w:pPr>
      <w:spacing w:after="0" w:line="240" w:lineRule="auto"/>
      <w:contextualSpacing/>
    </w:pPr>
    <w:rPr>
      <w:rFonts w:ascii="Arial" w:eastAsiaTheme="majorEastAsia" w:hAnsi="Arial" w:cstheme="majorBidi"/>
      <w:b/>
      <w:spacing w:val="-10"/>
      <w:kern w:val="28"/>
      <w:sz w:val="36"/>
      <w:szCs w:val="56"/>
    </w:rPr>
  </w:style>
  <w:style w:type="character" w:customStyle="1" w:styleId="TitleChar">
    <w:name w:val="Title Char"/>
    <w:basedOn w:val="DefaultParagraphFont"/>
    <w:link w:val="Title"/>
    <w:uiPriority w:val="10"/>
    <w:rsid w:val="006E52ED"/>
    <w:rPr>
      <w:rFonts w:ascii="Arial" w:eastAsiaTheme="majorEastAsia" w:hAnsi="Arial" w:cstheme="majorBidi"/>
      <w:b/>
      <w:spacing w:val="-10"/>
      <w:kern w:val="28"/>
      <w:sz w:val="3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4098">
      <w:bodyDiv w:val="1"/>
      <w:marLeft w:val="0"/>
      <w:marRight w:val="0"/>
      <w:marTop w:val="0"/>
      <w:marBottom w:val="0"/>
      <w:divBdr>
        <w:top w:val="none" w:sz="0" w:space="0" w:color="auto"/>
        <w:left w:val="none" w:sz="0" w:space="0" w:color="auto"/>
        <w:bottom w:val="none" w:sz="0" w:space="0" w:color="auto"/>
        <w:right w:val="none" w:sz="0" w:space="0" w:color="auto"/>
      </w:divBdr>
      <w:divsChild>
        <w:div w:id="70153666">
          <w:marLeft w:val="0"/>
          <w:marRight w:val="0"/>
          <w:marTop w:val="0"/>
          <w:marBottom w:val="0"/>
          <w:divBdr>
            <w:top w:val="none" w:sz="0" w:space="0" w:color="auto"/>
            <w:left w:val="none" w:sz="0" w:space="0" w:color="auto"/>
            <w:bottom w:val="none" w:sz="0" w:space="0" w:color="auto"/>
            <w:right w:val="none" w:sz="0" w:space="0" w:color="auto"/>
          </w:divBdr>
          <w:divsChild>
            <w:div w:id="1196428461">
              <w:marLeft w:val="0"/>
              <w:marRight w:val="0"/>
              <w:marTop w:val="0"/>
              <w:marBottom w:val="0"/>
              <w:divBdr>
                <w:top w:val="none" w:sz="0" w:space="0" w:color="auto"/>
                <w:left w:val="none" w:sz="0" w:space="0" w:color="auto"/>
                <w:bottom w:val="none" w:sz="0" w:space="0" w:color="auto"/>
                <w:right w:val="none" w:sz="0" w:space="0" w:color="auto"/>
              </w:divBdr>
            </w:div>
            <w:div w:id="1824853710">
              <w:marLeft w:val="0"/>
              <w:marRight w:val="0"/>
              <w:marTop w:val="0"/>
              <w:marBottom w:val="0"/>
              <w:divBdr>
                <w:top w:val="none" w:sz="0" w:space="0" w:color="auto"/>
                <w:left w:val="none" w:sz="0" w:space="0" w:color="auto"/>
                <w:bottom w:val="none" w:sz="0" w:space="0" w:color="auto"/>
                <w:right w:val="none" w:sz="0" w:space="0" w:color="auto"/>
              </w:divBdr>
            </w:div>
          </w:divsChild>
        </w:div>
        <w:div w:id="1477989979">
          <w:marLeft w:val="0"/>
          <w:marRight w:val="0"/>
          <w:marTop w:val="0"/>
          <w:marBottom w:val="0"/>
          <w:divBdr>
            <w:top w:val="none" w:sz="0" w:space="0" w:color="auto"/>
            <w:left w:val="none" w:sz="0" w:space="0" w:color="auto"/>
            <w:bottom w:val="none" w:sz="0" w:space="0" w:color="auto"/>
            <w:right w:val="none" w:sz="0" w:space="0" w:color="auto"/>
          </w:divBdr>
          <w:divsChild>
            <w:div w:id="9894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78671">
      <w:bodyDiv w:val="1"/>
      <w:marLeft w:val="0"/>
      <w:marRight w:val="0"/>
      <w:marTop w:val="0"/>
      <w:marBottom w:val="0"/>
      <w:divBdr>
        <w:top w:val="none" w:sz="0" w:space="0" w:color="auto"/>
        <w:left w:val="none" w:sz="0" w:space="0" w:color="auto"/>
        <w:bottom w:val="none" w:sz="0" w:space="0" w:color="auto"/>
        <w:right w:val="none" w:sz="0" w:space="0" w:color="auto"/>
      </w:divBdr>
    </w:div>
    <w:div w:id="819426704">
      <w:bodyDiv w:val="1"/>
      <w:marLeft w:val="0"/>
      <w:marRight w:val="0"/>
      <w:marTop w:val="0"/>
      <w:marBottom w:val="0"/>
      <w:divBdr>
        <w:top w:val="none" w:sz="0" w:space="0" w:color="auto"/>
        <w:left w:val="none" w:sz="0" w:space="0" w:color="auto"/>
        <w:bottom w:val="none" w:sz="0" w:space="0" w:color="auto"/>
        <w:right w:val="none" w:sz="0" w:space="0" w:color="auto"/>
      </w:divBdr>
      <w:divsChild>
        <w:div w:id="686449920">
          <w:marLeft w:val="0"/>
          <w:marRight w:val="0"/>
          <w:marTop w:val="0"/>
          <w:marBottom w:val="0"/>
          <w:divBdr>
            <w:top w:val="none" w:sz="0" w:space="0" w:color="auto"/>
            <w:left w:val="none" w:sz="0" w:space="0" w:color="auto"/>
            <w:bottom w:val="none" w:sz="0" w:space="0" w:color="auto"/>
            <w:right w:val="none" w:sz="0" w:space="0" w:color="auto"/>
          </w:divBdr>
          <w:divsChild>
            <w:div w:id="1139105273">
              <w:marLeft w:val="0"/>
              <w:marRight w:val="0"/>
              <w:marTop w:val="0"/>
              <w:marBottom w:val="0"/>
              <w:divBdr>
                <w:top w:val="none" w:sz="0" w:space="0" w:color="auto"/>
                <w:left w:val="none" w:sz="0" w:space="0" w:color="auto"/>
                <w:bottom w:val="none" w:sz="0" w:space="0" w:color="auto"/>
                <w:right w:val="none" w:sz="0" w:space="0" w:color="auto"/>
              </w:divBdr>
            </w:div>
            <w:div w:id="658077202">
              <w:marLeft w:val="0"/>
              <w:marRight w:val="0"/>
              <w:marTop w:val="0"/>
              <w:marBottom w:val="0"/>
              <w:divBdr>
                <w:top w:val="none" w:sz="0" w:space="0" w:color="auto"/>
                <w:left w:val="none" w:sz="0" w:space="0" w:color="auto"/>
                <w:bottom w:val="none" w:sz="0" w:space="0" w:color="auto"/>
                <w:right w:val="none" w:sz="0" w:space="0" w:color="auto"/>
              </w:divBdr>
            </w:div>
          </w:divsChild>
        </w:div>
        <w:div w:id="1420564509">
          <w:marLeft w:val="0"/>
          <w:marRight w:val="0"/>
          <w:marTop w:val="0"/>
          <w:marBottom w:val="0"/>
          <w:divBdr>
            <w:top w:val="none" w:sz="0" w:space="0" w:color="auto"/>
            <w:left w:val="none" w:sz="0" w:space="0" w:color="auto"/>
            <w:bottom w:val="none" w:sz="0" w:space="0" w:color="auto"/>
            <w:right w:val="none" w:sz="0" w:space="0" w:color="auto"/>
          </w:divBdr>
          <w:divsChild>
            <w:div w:id="14100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2025-01-23T16:23:00Z</dcterms:created>
  <dcterms:modified xsi:type="dcterms:W3CDTF">2025-02-17T10:10:00Z</dcterms:modified>
</cp:coreProperties>
</file>