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274A9" w14:textId="5C825787" w:rsidR="007030AC" w:rsidRDefault="007030AC" w:rsidP="00CB5871">
      <w:pPr>
        <w:pStyle w:val="Heading1"/>
      </w:pPr>
      <w:bookmarkStart w:id="0" w:name="_Hlk151637455"/>
      <w:r>
        <w:rPr>
          <w:noProof/>
        </w:rPr>
        <w:drawing>
          <wp:inline distT="0" distB="0" distL="0" distR="0" wp14:anchorId="0F64B19C" wp14:editId="2B798EF0">
            <wp:extent cx="2005745" cy="571500"/>
            <wp:effectExtent l="0" t="0" r="0" b="0"/>
            <wp:docPr id="964695959" name="Picture 964695959" descr="The National Collaborative logo with the slogan Need Change Need Righ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695959" name="Picture 964695959" descr="The National Collaborative logo with the slogan Need Change Need Rights. "/>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10340" cy="572809"/>
                    </a:xfrm>
                    <a:prstGeom prst="rect">
                      <a:avLst/>
                    </a:prstGeom>
                  </pic:spPr>
                </pic:pic>
              </a:graphicData>
            </a:graphic>
          </wp:inline>
        </w:drawing>
      </w:r>
    </w:p>
    <w:p w14:paraId="3CF92EED" w14:textId="3A251925" w:rsidR="009A4C07" w:rsidRDefault="00711357" w:rsidP="00CB5871">
      <w:pPr>
        <w:pStyle w:val="Heading1"/>
      </w:pPr>
      <w:r w:rsidRPr="00A828E5">
        <w:t>Guidance on Human Rights</w:t>
      </w:r>
      <w:r w:rsidR="00FC6802" w:rsidRPr="00A828E5">
        <w:t>, Duties</w:t>
      </w:r>
      <w:r w:rsidR="00471663" w:rsidRPr="00A828E5">
        <w:t xml:space="preserve"> and</w:t>
      </w:r>
      <w:r w:rsidR="00FC6802" w:rsidRPr="00A828E5">
        <w:t xml:space="preserve"> </w:t>
      </w:r>
      <w:r w:rsidR="00D22AAD" w:rsidRPr="00A828E5">
        <w:t>Principles</w:t>
      </w:r>
      <w:bookmarkEnd w:id="0"/>
    </w:p>
    <w:p w14:paraId="159ECC66" w14:textId="3E618C70" w:rsidR="00177A3C" w:rsidRDefault="00177A3C" w:rsidP="00177A3C">
      <w:pPr>
        <w:pStyle w:val="Style1"/>
        <w:spacing w:before="240"/>
        <w:jc w:val="center"/>
        <w:rPr>
          <w:sz w:val="36"/>
          <w:szCs w:val="36"/>
        </w:rPr>
      </w:pPr>
    </w:p>
    <w:p w14:paraId="3E5841D0" w14:textId="77777777" w:rsidR="009E3F8B" w:rsidRDefault="009E3F8B" w:rsidP="00CB5871">
      <w:r w:rsidRPr="00C628C6">
        <w:t xml:space="preserve">Please note that this guidance from the National Collaborative is for information purposes only. </w:t>
      </w:r>
    </w:p>
    <w:p w14:paraId="5AE19B35" w14:textId="77777777" w:rsidR="009E3F8B" w:rsidRDefault="009E3F8B" w:rsidP="00CB5871">
      <w:r w:rsidRPr="00C628C6">
        <w:t xml:space="preserve">It is not intended and should not be used as legal advice or guidance. </w:t>
      </w:r>
    </w:p>
    <w:p w14:paraId="29A4172B" w14:textId="1717B2AC" w:rsidR="00177A3C" w:rsidRPr="00CB5871" w:rsidRDefault="009E3F8B" w:rsidP="00CB5871">
      <w:pPr>
        <w:sectPr w:rsidR="00177A3C" w:rsidRPr="00CB5871">
          <w:headerReference w:type="default" r:id="rId9"/>
          <w:footerReference w:type="default" r:id="rId10"/>
          <w:pgSz w:w="11906" w:h="16838"/>
          <w:pgMar w:top="1440" w:right="1440" w:bottom="1440" w:left="1440" w:header="708" w:footer="708" w:gutter="0"/>
          <w:cols w:space="708"/>
          <w:docGrid w:linePitch="360"/>
        </w:sectPr>
      </w:pPr>
      <w:r w:rsidRPr="00C628C6">
        <w:t>The law referred to in this guidance may have changed since it was published</w:t>
      </w:r>
      <w:r w:rsidR="00CB5871">
        <w:t xml:space="preserve">. </w:t>
      </w:r>
    </w:p>
    <w:p w14:paraId="5B8BD0B9" w14:textId="3225D8F2" w:rsidR="00A54BC7" w:rsidRPr="001C28DB" w:rsidRDefault="00A54BC7" w:rsidP="00CB5871">
      <w:pPr>
        <w:pStyle w:val="Heading2"/>
      </w:pPr>
      <w:bookmarkStart w:id="1" w:name="_Toc184287887"/>
      <w:bookmarkStart w:id="2" w:name="_Toc184287984"/>
      <w:bookmarkStart w:id="3" w:name="_Toc184288715"/>
      <w:bookmarkStart w:id="4" w:name="_Toc184288760"/>
      <w:bookmarkStart w:id="5" w:name="_Toc184291309"/>
      <w:bookmarkStart w:id="6" w:name="_Toc184298355"/>
      <w:bookmarkStart w:id="7" w:name="_Toc184298452"/>
      <w:r w:rsidRPr="001C28DB">
        <w:lastRenderedPageBreak/>
        <w:t>Introduction</w:t>
      </w:r>
      <w:bookmarkEnd w:id="1"/>
      <w:bookmarkEnd w:id="2"/>
      <w:bookmarkEnd w:id="3"/>
      <w:bookmarkEnd w:id="4"/>
      <w:bookmarkEnd w:id="5"/>
      <w:bookmarkEnd w:id="6"/>
      <w:bookmarkEnd w:id="7"/>
    </w:p>
    <w:p w14:paraId="349403BE" w14:textId="1E5A40E4" w:rsidR="00CE66F2" w:rsidRPr="00A977AD" w:rsidRDefault="0077305F" w:rsidP="00CB5871">
      <w:r w:rsidRPr="00A977AD">
        <w:t>Th</w:t>
      </w:r>
      <w:r w:rsidR="008B1FBE" w:rsidRPr="00A977AD">
        <w:t>is Guidance</w:t>
      </w:r>
      <w:r w:rsidR="00D1540E" w:rsidRPr="00A977AD">
        <w:t xml:space="preserve"> introduces</w:t>
      </w:r>
      <w:r w:rsidR="001657F0" w:rsidRPr="00A977AD">
        <w:t xml:space="preserve"> the key human rights</w:t>
      </w:r>
      <w:r w:rsidR="006518B2" w:rsidRPr="00A977AD">
        <w:t>,</w:t>
      </w:r>
      <w:r w:rsidR="001657F0" w:rsidRPr="00A977AD">
        <w:t xml:space="preserve"> duties </w:t>
      </w:r>
      <w:r w:rsidR="006518B2" w:rsidRPr="00A977AD">
        <w:t xml:space="preserve">and principles </w:t>
      </w:r>
      <w:r w:rsidR="001657F0" w:rsidRPr="00A977AD">
        <w:t>which underpin the Charter</w:t>
      </w:r>
      <w:r w:rsidR="00D1540E" w:rsidRPr="00A977AD">
        <w:t xml:space="preserve"> of Rights</w:t>
      </w:r>
      <w:r w:rsidR="002B19C8" w:rsidRPr="00A977AD">
        <w:t xml:space="preserve"> and its Toolkit</w:t>
      </w:r>
      <w:r w:rsidR="00D1540E" w:rsidRPr="00A977AD">
        <w:t>.</w:t>
      </w:r>
    </w:p>
    <w:p w14:paraId="30580DFD" w14:textId="34E93340" w:rsidR="00E00ADC" w:rsidRPr="00A977AD" w:rsidRDefault="00703562" w:rsidP="00CB5871">
      <w:r w:rsidRPr="00A977AD">
        <w:t xml:space="preserve">The Charter </w:t>
      </w:r>
      <w:r w:rsidR="00E21AA9" w:rsidRPr="00A977AD">
        <w:t xml:space="preserve">is </w:t>
      </w:r>
      <w:r w:rsidR="00875B76" w:rsidRPr="00A977AD">
        <w:t>intended</w:t>
      </w:r>
      <w:r w:rsidR="00792E0F" w:rsidRPr="00A977AD">
        <w:t xml:space="preserve"> to assist</w:t>
      </w:r>
      <w:r w:rsidR="00D17640" w:rsidRPr="00A977AD">
        <w:t xml:space="preserve"> with understanding how human </w:t>
      </w:r>
      <w:r w:rsidR="00E37F16" w:rsidRPr="00A977AD">
        <w:t xml:space="preserve">rights </w:t>
      </w:r>
      <w:r w:rsidR="00D17640" w:rsidRPr="00A977AD">
        <w:t xml:space="preserve">(including </w:t>
      </w:r>
      <w:r w:rsidR="005C7849" w:rsidRPr="00A977AD">
        <w:t xml:space="preserve">the Human Rights Act 1998 and </w:t>
      </w:r>
      <w:r w:rsidR="00E37F16" w:rsidRPr="00A977AD">
        <w:t xml:space="preserve">the </w:t>
      </w:r>
      <w:r w:rsidR="00D852A9" w:rsidRPr="00A977AD">
        <w:t>proposed</w:t>
      </w:r>
      <w:r w:rsidR="00E37F16" w:rsidRPr="00A977AD">
        <w:t xml:space="preserve"> Scottish Human Rights</w:t>
      </w:r>
      <w:r w:rsidR="00667A88" w:rsidRPr="00A977AD">
        <w:t xml:space="preserve"> Bill</w:t>
      </w:r>
      <w:r w:rsidR="00D17640" w:rsidRPr="00A977AD">
        <w:t xml:space="preserve">) </w:t>
      </w:r>
      <w:r w:rsidR="005C7849" w:rsidRPr="00A977AD">
        <w:t xml:space="preserve">apply to people affected by substance use. </w:t>
      </w:r>
    </w:p>
    <w:p w14:paraId="6C76BFF8" w14:textId="0B92A56F" w:rsidR="00516CCF" w:rsidRPr="00A977AD" w:rsidRDefault="00521887" w:rsidP="00CB5871">
      <w:r w:rsidRPr="00A977AD">
        <w:t xml:space="preserve">The </w:t>
      </w:r>
      <w:r w:rsidR="002B19C8" w:rsidRPr="00A977AD">
        <w:t>Toolkit</w:t>
      </w:r>
      <w:r w:rsidRPr="00A977AD">
        <w:t xml:space="preserve"> </w:t>
      </w:r>
      <w:r w:rsidR="00963C74" w:rsidRPr="00A977AD">
        <w:t xml:space="preserve">of the Charter </w:t>
      </w:r>
      <w:r w:rsidRPr="00A977AD">
        <w:t xml:space="preserve">applies a human rights-based approach </w:t>
      </w:r>
      <w:r w:rsidR="003707FE" w:rsidRPr="00A977AD">
        <w:t xml:space="preserve">to </w:t>
      </w:r>
      <w:r w:rsidR="003A71DC" w:rsidRPr="00A977AD">
        <w:t>support people affected by substance use and</w:t>
      </w:r>
      <w:r w:rsidR="00851604" w:rsidRPr="00A977AD">
        <w:t xml:space="preserve"> </w:t>
      </w:r>
      <w:r w:rsidR="00F03139" w:rsidRPr="00A977AD">
        <w:t>help</w:t>
      </w:r>
      <w:r w:rsidR="00F662CD">
        <w:t>s</w:t>
      </w:r>
      <w:r w:rsidR="00F03139" w:rsidRPr="00A977AD">
        <w:t xml:space="preserve"> </w:t>
      </w:r>
      <w:r w:rsidR="00851604" w:rsidRPr="00A977AD">
        <w:t xml:space="preserve">public bodies </w:t>
      </w:r>
      <w:r w:rsidR="003707FE" w:rsidRPr="00A977AD">
        <w:t xml:space="preserve">give effect to </w:t>
      </w:r>
      <w:r w:rsidR="005F60C5" w:rsidRPr="00A977AD">
        <w:t>human</w:t>
      </w:r>
      <w:r w:rsidR="003707FE" w:rsidRPr="00A977AD">
        <w:t xml:space="preserve"> rights.</w:t>
      </w:r>
    </w:p>
    <w:p w14:paraId="2CE06151" w14:textId="431FFD9C" w:rsidR="00851604" w:rsidRPr="00A977AD" w:rsidRDefault="003951BB" w:rsidP="00CB5871">
      <w:r w:rsidRPr="00A977AD">
        <w:t xml:space="preserve">Section 1 </w:t>
      </w:r>
      <w:r w:rsidR="00851604" w:rsidRPr="00A977AD">
        <w:t xml:space="preserve">of this guidance </w:t>
      </w:r>
      <w:r w:rsidRPr="00A977AD">
        <w:t xml:space="preserve">outlines the key human rights and duties </w:t>
      </w:r>
      <w:r w:rsidR="00DD15AE" w:rsidRPr="00A977AD">
        <w:t xml:space="preserve">from the new legal human rights framework </w:t>
      </w:r>
      <w:r w:rsidRPr="00A977AD">
        <w:t xml:space="preserve">which </w:t>
      </w:r>
      <w:r w:rsidR="00DD15AE" w:rsidRPr="00A977AD">
        <w:t xml:space="preserve">will </w:t>
      </w:r>
      <w:r w:rsidRPr="00A977AD">
        <w:t xml:space="preserve">apply </w:t>
      </w:r>
      <w:r w:rsidR="00520F1A" w:rsidRPr="00A977AD">
        <w:t>to</w:t>
      </w:r>
      <w:r w:rsidR="00851604" w:rsidRPr="00A977AD">
        <w:t xml:space="preserve"> people affected by</w:t>
      </w:r>
      <w:r w:rsidRPr="00A977AD">
        <w:t xml:space="preserve"> substance use. </w:t>
      </w:r>
      <w:r w:rsidR="00EC33C4" w:rsidRPr="00A977AD">
        <w:t>The National Collaborative chose to focus on “key rights” but recognise</w:t>
      </w:r>
      <w:r w:rsidR="00932D52" w:rsidRPr="00A977AD">
        <w:t>s</w:t>
      </w:r>
      <w:r w:rsidR="00EC33C4" w:rsidRPr="00A977AD">
        <w:t xml:space="preserve"> the universality and interdependence of rights beyond what is set out in this guidance. </w:t>
      </w:r>
      <w:r w:rsidR="00AB1378" w:rsidRPr="00A977AD">
        <w:t xml:space="preserve"> </w:t>
      </w:r>
    </w:p>
    <w:p w14:paraId="57ABDC04" w14:textId="3C0EB1B8" w:rsidR="003951BB" w:rsidRPr="00A977AD" w:rsidRDefault="00851604" w:rsidP="00CB5871">
      <w:r w:rsidRPr="00A977AD">
        <w:t>Section 1 also</w:t>
      </w:r>
      <w:r w:rsidR="00F26A30" w:rsidRPr="00A977AD">
        <w:t xml:space="preserve"> </w:t>
      </w:r>
      <w:r w:rsidR="004542C6" w:rsidRPr="00A977AD">
        <w:t>draws attention to the limitations of devolution</w:t>
      </w:r>
      <w:r w:rsidR="006A417D" w:rsidRPr="00A977AD">
        <w:t xml:space="preserve"> </w:t>
      </w:r>
      <w:r w:rsidR="00CC3BCD" w:rsidRPr="00A977AD">
        <w:t xml:space="preserve">and how they may be </w:t>
      </w:r>
      <w:r w:rsidR="00042CEE" w:rsidRPr="00A977AD">
        <w:t xml:space="preserve">specifically </w:t>
      </w:r>
      <w:r w:rsidR="00CC3BCD" w:rsidRPr="00A977AD">
        <w:t xml:space="preserve">addressed </w:t>
      </w:r>
      <w:r w:rsidR="006A417D" w:rsidRPr="00A977AD">
        <w:t>in relation to equality and the Misuse of Drugs Act 1971.</w:t>
      </w:r>
      <w:r w:rsidR="00E705F5" w:rsidRPr="00A977AD">
        <w:t xml:space="preserve"> </w:t>
      </w:r>
      <w:r w:rsidR="00FB415D" w:rsidRPr="00A977AD">
        <w:t xml:space="preserve">Reference is also made to the </w:t>
      </w:r>
      <w:r w:rsidR="00AA77E9" w:rsidRPr="00A977AD">
        <w:t>International Guid</w:t>
      </w:r>
      <w:r w:rsidR="00C52332" w:rsidRPr="00A977AD">
        <w:t>elines</w:t>
      </w:r>
      <w:r w:rsidR="00AA77E9" w:rsidRPr="00A977AD">
        <w:t xml:space="preserve"> on Human Rights and Drug Policy which </w:t>
      </w:r>
      <w:r w:rsidR="008B2018" w:rsidRPr="00A977AD">
        <w:t xml:space="preserve">explains the relevance of a broad range of human rights to </w:t>
      </w:r>
      <w:r w:rsidR="007130BF" w:rsidRPr="00A977AD">
        <w:t>the development of</w:t>
      </w:r>
      <w:r w:rsidR="008B2018" w:rsidRPr="00A977AD">
        <w:t xml:space="preserve"> drug policy</w:t>
      </w:r>
      <w:r w:rsidR="007130BF" w:rsidRPr="00A977AD">
        <w:t xml:space="preserve"> internationally</w:t>
      </w:r>
      <w:r w:rsidR="008B2018" w:rsidRPr="00A977AD">
        <w:t>.</w:t>
      </w:r>
      <w:r w:rsidR="00FB415D" w:rsidRPr="00A977AD">
        <w:t xml:space="preserve"> </w:t>
      </w:r>
    </w:p>
    <w:p w14:paraId="44C45F03" w14:textId="7C7D526F" w:rsidR="003C4AEF" w:rsidRPr="00A977AD" w:rsidRDefault="00866571" w:rsidP="00CB5871">
      <w:r w:rsidRPr="00A977AD">
        <w:t xml:space="preserve">Section </w:t>
      </w:r>
      <w:r w:rsidR="003951BB" w:rsidRPr="00A977AD">
        <w:t>2</w:t>
      </w:r>
      <w:r w:rsidRPr="00A977AD">
        <w:t xml:space="preserve"> outlines </w:t>
      </w:r>
      <w:r w:rsidR="003951BB" w:rsidRPr="00A977AD">
        <w:t xml:space="preserve">the </w:t>
      </w:r>
      <w:r w:rsidRPr="00A977AD">
        <w:t xml:space="preserve">key human rights principles </w:t>
      </w:r>
      <w:r w:rsidR="003C4AEF" w:rsidRPr="00A977AD">
        <w:t>which guide</w:t>
      </w:r>
      <w:r w:rsidRPr="00A977AD">
        <w:t xml:space="preserve"> the interpretation and implementation</w:t>
      </w:r>
      <w:r w:rsidR="003C4AEF" w:rsidRPr="00A977AD">
        <w:t xml:space="preserve"> of the Charter.</w:t>
      </w:r>
      <w:r w:rsidR="00645165" w:rsidRPr="00A977AD">
        <w:t xml:space="preserve"> </w:t>
      </w:r>
      <w:r w:rsidR="00F70013" w:rsidRPr="00A977AD">
        <w:t>This includes</w:t>
      </w:r>
      <w:r w:rsidR="00645165" w:rsidRPr="00A977AD">
        <w:t xml:space="preserve"> international human rights principles </w:t>
      </w:r>
      <w:r w:rsidR="00F70013" w:rsidRPr="00A977AD">
        <w:t xml:space="preserve">which </w:t>
      </w:r>
      <w:r w:rsidR="00645165" w:rsidRPr="00A977AD">
        <w:t>provide</w:t>
      </w:r>
      <w:r w:rsidR="0070597B" w:rsidRPr="00A977AD">
        <w:t xml:space="preserve"> general</w:t>
      </w:r>
      <w:r w:rsidR="00645165" w:rsidRPr="00A977AD">
        <w:t xml:space="preserve"> guidance on the interpretation and application of </w:t>
      </w:r>
      <w:r w:rsidR="0070597B" w:rsidRPr="00A977AD">
        <w:t>all human rights</w:t>
      </w:r>
      <w:r w:rsidR="00E47854" w:rsidRPr="00A977AD">
        <w:t>.</w:t>
      </w:r>
      <w:r w:rsidR="00F70013" w:rsidRPr="00A977AD">
        <w:t xml:space="preserve"> </w:t>
      </w:r>
      <w:r w:rsidR="00E47854" w:rsidRPr="00A977AD">
        <w:t xml:space="preserve">It also includes </w:t>
      </w:r>
      <w:r w:rsidR="00F70013" w:rsidRPr="00A977AD">
        <w:t xml:space="preserve">principles </w:t>
      </w:r>
      <w:r w:rsidR="00B70443" w:rsidRPr="00A977AD">
        <w:t xml:space="preserve">relevant </w:t>
      </w:r>
      <w:r w:rsidR="00F70013" w:rsidRPr="00A977AD">
        <w:t>to the interpretation and application of economic, social, and cultural rights</w:t>
      </w:r>
      <w:r w:rsidR="003608B0" w:rsidRPr="00A977AD">
        <w:t xml:space="preserve"> which </w:t>
      </w:r>
      <w:r w:rsidR="002B19C8" w:rsidRPr="00A977AD">
        <w:t>are to</w:t>
      </w:r>
      <w:r w:rsidR="00B70443" w:rsidRPr="00A977AD">
        <w:t xml:space="preserve"> </w:t>
      </w:r>
      <w:r w:rsidR="003608B0" w:rsidRPr="00A977AD">
        <w:t xml:space="preserve">be introduced by the </w:t>
      </w:r>
      <w:r w:rsidR="006B12EC" w:rsidRPr="00A977AD">
        <w:t xml:space="preserve">proposed </w:t>
      </w:r>
      <w:r w:rsidR="003608B0" w:rsidRPr="00A977AD">
        <w:t>Scottish Human Rights Bill</w:t>
      </w:r>
      <w:r w:rsidR="00DD4C48" w:rsidRPr="00A977AD">
        <w:t xml:space="preserve">. This section also outlines how the UN Panel Principles provide </w:t>
      </w:r>
      <w:r w:rsidR="00C30CA8" w:rsidRPr="00A977AD">
        <w:t xml:space="preserve">the </w:t>
      </w:r>
      <w:r w:rsidR="00DD4C48" w:rsidRPr="00A977AD">
        <w:t xml:space="preserve">guidance to the </w:t>
      </w:r>
      <w:r w:rsidR="00C30CA8" w:rsidRPr="00A977AD">
        <w:t>Charter and its Toolkit</w:t>
      </w:r>
      <w:r w:rsidR="0070597B" w:rsidRPr="00A977AD">
        <w:t xml:space="preserve"> </w:t>
      </w:r>
      <w:r w:rsidR="005E4518" w:rsidRPr="00A977AD">
        <w:t xml:space="preserve">of checklists, </w:t>
      </w:r>
      <w:r w:rsidR="00163691" w:rsidRPr="00A977AD">
        <w:t xml:space="preserve">outcome </w:t>
      </w:r>
      <w:r w:rsidR="005E4518" w:rsidRPr="00A977AD">
        <w:t>indicators, and model of good practice.</w:t>
      </w:r>
    </w:p>
    <w:p w14:paraId="5DF047BD" w14:textId="4509D58C" w:rsidR="009D4A97" w:rsidRPr="00A977AD" w:rsidRDefault="009D4A97" w:rsidP="00CB5871">
      <w:r w:rsidRPr="00A977AD">
        <w:t xml:space="preserve">Section 3 </w:t>
      </w:r>
      <w:r w:rsidR="00AD2740" w:rsidRPr="00A977AD">
        <w:t xml:space="preserve">provides links to resources for </w:t>
      </w:r>
      <w:r w:rsidR="00AA49D0" w:rsidRPr="00A977AD">
        <w:t>useful</w:t>
      </w:r>
      <w:r w:rsidR="00AD2740" w:rsidRPr="00A977AD">
        <w:t xml:space="preserve"> </w:t>
      </w:r>
      <w:r w:rsidR="00D55626" w:rsidRPr="00A977AD">
        <w:t>information.</w:t>
      </w:r>
      <w:r w:rsidR="00535109" w:rsidRPr="00A977AD">
        <w:t xml:space="preserve"> </w:t>
      </w:r>
    </w:p>
    <w:p w14:paraId="30D6396F" w14:textId="77777777" w:rsidR="00DA0E1C" w:rsidRDefault="009A745B" w:rsidP="00CB5871">
      <w:r w:rsidRPr="00A977AD">
        <w:t>Th</w:t>
      </w:r>
      <w:r w:rsidR="00486C06" w:rsidRPr="00A977AD">
        <w:t>is</w:t>
      </w:r>
      <w:r w:rsidRPr="00A977AD">
        <w:t xml:space="preserve"> Guidance </w:t>
      </w:r>
      <w:r w:rsidR="00395FF4" w:rsidRPr="00A977AD">
        <w:t xml:space="preserve">on </w:t>
      </w:r>
      <w:r w:rsidR="00C91F7F" w:rsidRPr="00A977AD">
        <w:t xml:space="preserve">Human </w:t>
      </w:r>
      <w:r w:rsidR="00395FF4" w:rsidRPr="00A977AD">
        <w:t xml:space="preserve">Rights, Duties and </w:t>
      </w:r>
      <w:r w:rsidR="002F3D02" w:rsidRPr="00A977AD">
        <w:t>Principles</w:t>
      </w:r>
      <w:r w:rsidR="00395FF4" w:rsidRPr="00A977AD">
        <w:t xml:space="preserve"> </w:t>
      </w:r>
      <w:r w:rsidR="007925A9" w:rsidRPr="00A977AD">
        <w:t>should be understood as</w:t>
      </w:r>
      <w:r w:rsidRPr="00A977AD">
        <w:t xml:space="preserve"> a </w:t>
      </w:r>
      <w:r w:rsidRPr="00CB5871">
        <w:rPr>
          <w:b/>
          <w:bCs/>
        </w:rPr>
        <w:t>“living document”</w:t>
      </w:r>
      <w:r w:rsidRPr="00A977AD">
        <w:t xml:space="preserve"> which </w:t>
      </w:r>
      <w:r w:rsidR="005E4D58" w:rsidRPr="00A977AD">
        <w:t>can</w:t>
      </w:r>
      <w:r w:rsidR="0067036D" w:rsidRPr="00A977AD">
        <w:t xml:space="preserve"> be updated to reflect future developments in law, policy</w:t>
      </w:r>
      <w:r w:rsidR="00081D47" w:rsidRPr="00A977AD">
        <w:t>,</w:t>
      </w:r>
      <w:r w:rsidR="0067036D" w:rsidRPr="00A977AD">
        <w:t xml:space="preserve"> and practice.</w:t>
      </w:r>
    </w:p>
    <w:p w14:paraId="5B6AB616" w14:textId="77777777" w:rsidR="00DA0E1C" w:rsidRDefault="00DA0E1C">
      <w:r>
        <w:br w:type="page"/>
      </w:r>
    </w:p>
    <w:p w14:paraId="62F47561" w14:textId="25662A1F" w:rsidR="00A977AD" w:rsidRDefault="00CE28FD" w:rsidP="00CB5871">
      <w:r w:rsidRPr="00A977AD">
        <w:lastRenderedPageBreak/>
        <w:t xml:space="preserve"> </w:t>
      </w:r>
    </w:p>
    <w:p w14:paraId="59E1CC9E" w14:textId="2FB08673" w:rsidR="00ED4D97" w:rsidRPr="001C28DB" w:rsidRDefault="00200A09" w:rsidP="00DA0E1C">
      <w:pPr>
        <w:pStyle w:val="Heading2"/>
      </w:pPr>
      <w:bookmarkStart w:id="8" w:name="_Toc184287888"/>
      <w:bookmarkStart w:id="9" w:name="_Toc184287985"/>
      <w:bookmarkStart w:id="10" w:name="_Toc184288716"/>
      <w:bookmarkStart w:id="11" w:name="_Toc184288761"/>
      <w:bookmarkStart w:id="12" w:name="_Toc184291310"/>
      <w:bookmarkStart w:id="13" w:name="_Toc184298356"/>
      <w:bookmarkStart w:id="14" w:name="_Toc184298453"/>
      <w:r w:rsidRPr="001C28DB">
        <w:t xml:space="preserve">Section </w:t>
      </w:r>
      <w:r w:rsidR="0055333E" w:rsidRPr="001C28DB">
        <w:t>1</w:t>
      </w:r>
      <w:r w:rsidR="006571A3" w:rsidRPr="001C28DB">
        <w:t>.</w:t>
      </w:r>
      <w:r w:rsidR="00C0077D" w:rsidRPr="001C28DB">
        <w:t xml:space="preserve"> Key </w:t>
      </w:r>
      <w:r w:rsidR="00ED4D97" w:rsidRPr="001C28DB">
        <w:t>Human Rights</w:t>
      </w:r>
      <w:r w:rsidRPr="001C28DB">
        <w:t xml:space="preserve"> and Duties</w:t>
      </w:r>
      <w:bookmarkEnd w:id="8"/>
      <w:bookmarkEnd w:id="9"/>
      <w:bookmarkEnd w:id="10"/>
      <w:bookmarkEnd w:id="11"/>
      <w:bookmarkEnd w:id="12"/>
      <w:bookmarkEnd w:id="13"/>
      <w:bookmarkEnd w:id="14"/>
      <w:r w:rsidR="005D0FF9" w:rsidRPr="001C28DB">
        <w:t xml:space="preserve"> </w:t>
      </w:r>
    </w:p>
    <w:p w14:paraId="32D4E7BF" w14:textId="2E57F8EB" w:rsidR="00DA0E1C" w:rsidRPr="00DA0E1C" w:rsidRDefault="00971AC5" w:rsidP="00227674">
      <w:pPr>
        <w:pStyle w:val="Heading3"/>
        <w:numPr>
          <w:ilvl w:val="0"/>
          <w:numId w:val="16"/>
        </w:numPr>
        <w:spacing w:after="120"/>
        <w:ind w:left="714" w:hanging="357"/>
      </w:pPr>
      <w:bookmarkStart w:id="15" w:name="_Toc184287889"/>
      <w:bookmarkStart w:id="16" w:name="_Toc184287986"/>
      <w:bookmarkStart w:id="17" w:name="_Toc184288717"/>
      <w:bookmarkStart w:id="18" w:name="_Toc184288762"/>
      <w:bookmarkStart w:id="19" w:name="_Toc184291311"/>
      <w:bookmarkStart w:id="20" w:name="_Toc184298357"/>
      <w:bookmarkStart w:id="21" w:name="_Toc184298454"/>
      <w:r w:rsidRPr="00DA0E1C">
        <w:t>The new legal human rights framework</w:t>
      </w:r>
      <w:r w:rsidR="00CD222A" w:rsidRPr="00DA0E1C">
        <w:t xml:space="preserve"> for Scotland</w:t>
      </w:r>
      <w:bookmarkEnd w:id="15"/>
      <w:bookmarkEnd w:id="16"/>
      <w:bookmarkEnd w:id="17"/>
      <w:bookmarkEnd w:id="18"/>
      <w:bookmarkEnd w:id="19"/>
      <w:bookmarkEnd w:id="20"/>
      <w:bookmarkEnd w:id="21"/>
    </w:p>
    <w:p w14:paraId="3BCDD0BB" w14:textId="303D1A16" w:rsidR="00F81839" w:rsidRPr="00A977AD" w:rsidRDefault="00ED4D97" w:rsidP="00DA0E1C">
      <w:r w:rsidRPr="00A977AD">
        <w:t xml:space="preserve">The work of the National Collaborative </w:t>
      </w:r>
      <w:r w:rsidR="00E01356" w:rsidRPr="00A977AD">
        <w:t>in development of the Charter</w:t>
      </w:r>
      <w:r w:rsidR="0058292C" w:rsidRPr="00A977AD">
        <w:t xml:space="preserve"> </w:t>
      </w:r>
      <w:r w:rsidR="005F1904" w:rsidRPr="00A977AD">
        <w:t xml:space="preserve">of Rights </w:t>
      </w:r>
      <w:r w:rsidR="00F05114" w:rsidRPr="00A977AD">
        <w:t xml:space="preserve">is </w:t>
      </w:r>
      <w:r w:rsidR="005971C4">
        <w:t>in part being</w:t>
      </w:r>
      <w:r w:rsidR="00F05114" w:rsidRPr="00A977AD">
        <w:t xml:space="preserve"> undertaken</w:t>
      </w:r>
      <w:r w:rsidR="0078614F" w:rsidRPr="00A977AD">
        <w:t xml:space="preserve"> in </w:t>
      </w:r>
      <w:r w:rsidR="00F05114" w:rsidRPr="00A977AD">
        <w:t xml:space="preserve">anticipation of </w:t>
      </w:r>
      <w:r w:rsidR="009A7AA6" w:rsidRPr="00A977AD">
        <w:t xml:space="preserve">the </w:t>
      </w:r>
      <w:r w:rsidR="006B12EC" w:rsidRPr="00A977AD">
        <w:t>proposed</w:t>
      </w:r>
      <w:r w:rsidR="00102BA8" w:rsidRPr="00A977AD">
        <w:t xml:space="preserve"> Scottish Human Rights Bill.</w:t>
      </w:r>
      <w:r w:rsidR="00F05114" w:rsidRPr="00A977AD">
        <w:t xml:space="preserve"> </w:t>
      </w:r>
    </w:p>
    <w:p w14:paraId="12CD95FF" w14:textId="008CDF03" w:rsidR="00D7360B" w:rsidRPr="00A977AD" w:rsidRDefault="003E2DEE" w:rsidP="00DA0E1C">
      <w:r w:rsidRPr="00A977AD">
        <w:t xml:space="preserve">It is </w:t>
      </w:r>
      <w:r w:rsidR="00102BA8" w:rsidRPr="00A977AD">
        <w:t>anticipated</w:t>
      </w:r>
      <w:r w:rsidRPr="00A977AD">
        <w:t xml:space="preserve"> that the </w:t>
      </w:r>
      <w:r w:rsidR="006B12EC" w:rsidRPr="00A977AD">
        <w:t xml:space="preserve">proposed </w:t>
      </w:r>
      <w:r w:rsidRPr="00A977AD">
        <w:t xml:space="preserve">Bill will </w:t>
      </w:r>
      <w:r w:rsidR="0004124D" w:rsidRPr="00A977AD">
        <w:t xml:space="preserve">incorporate </w:t>
      </w:r>
      <w:r w:rsidR="007770B4" w:rsidRPr="00A977AD">
        <w:t xml:space="preserve">the International </w:t>
      </w:r>
      <w:r w:rsidR="00DC6282" w:rsidRPr="00A977AD">
        <w:t>Covenant</w:t>
      </w:r>
      <w:r w:rsidR="007770B4" w:rsidRPr="00A977AD">
        <w:t xml:space="preserve"> on Economic, Social and Cultural Rights </w:t>
      </w:r>
      <w:r w:rsidR="00851604" w:rsidRPr="00A977AD">
        <w:t xml:space="preserve">(ICESCR) </w:t>
      </w:r>
      <w:r w:rsidR="007770B4" w:rsidRPr="00A977AD">
        <w:t xml:space="preserve">which contains </w:t>
      </w:r>
      <w:r w:rsidR="0004124D" w:rsidRPr="00A977AD">
        <w:t xml:space="preserve">rights </w:t>
      </w:r>
      <w:r w:rsidR="00D5331B" w:rsidRPr="00A977AD">
        <w:t>that are particularly relevant for people affected by substance use</w:t>
      </w:r>
      <w:r w:rsidR="00DD4333" w:rsidRPr="00A977AD">
        <w:t>,</w:t>
      </w:r>
      <w:r w:rsidR="00D5331B" w:rsidRPr="00A977AD">
        <w:t xml:space="preserve"> </w:t>
      </w:r>
      <w:r w:rsidR="0004124D" w:rsidRPr="00A977AD">
        <w:t xml:space="preserve">including the right to </w:t>
      </w:r>
      <w:r w:rsidR="00DD4333" w:rsidRPr="00A977AD">
        <w:t xml:space="preserve">the highest attainable standard of </w:t>
      </w:r>
      <w:r w:rsidR="00103578" w:rsidRPr="00A977AD">
        <w:t xml:space="preserve">physical and mental </w:t>
      </w:r>
      <w:r w:rsidR="0004124D" w:rsidRPr="00A977AD">
        <w:t>health</w:t>
      </w:r>
      <w:r w:rsidR="00DD4333" w:rsidRPr="00A977AD">
        <w:t xml:space="preserve">. </w:t>
      </w:r>
    </w:p>
    <w:p w14:paraId="08E2A1CB" w14:textId="77CE6154" w:rsidR="00851604" w:rsidRPr="00A977AD" w:rsidRDefault="001A6972" w:rsidP="00DA0E1C">
      <w:r w:rsidRPr="00A977AD">
        <w:t xml:space="preserve">The proposals for the </w:t>
      </w:r>
      <w:r w:rsidR="00307649" w:rsidRPr="00A977AD">
        <w:t xml:space="preserve">proposed </w:t>
      </w:r>
      <w:r w:rsidRPr="00A977AD">
        <w:t xml:space="preserve">Bill are that people will be able to </w:t>
      </w:r>
      <w:r w:rsidR="009E2D3C" w:rsidRPr="00A977AD">
        <w:t xml:space="preserve">legally </w:t>
      </w:r>
      <w:r w:rsidRPr="00A977AD">
        <w:t xml:space="preserve">challenge Scottish public authorities </w:t>
      </w:r>
      <w:r w:rsidR="001B086D" w:rsidRPr="00A977AD">
        <w:t>if their</w:t>
      </w:r>
      <w:r w:rsidRPr="00A977AD">
        <w:t xml:space="preserve"> </w:t>
      </w:r>
      <w:r w:rsidR="00E52851" w:rsidRPr="00A977AD">
        <w:t xml:space="preserve">human </w:t>
      </w:r>
      <w:r w:rsidRPr="00A977AD">
        <w:t xml:space="preserve">rights are </w:t>
      </w:r>
      <w:r w:rsidR="001B086D" w:rsidRPr="00A977AD">
        <w:t>not respected, protected</w:t>
      </w:r>
      <w:r w:rsidR="009626A9" w:rsidRPr="00A977AD">
        <w:t>,</w:t>
      </w:r>
      <w:r w:rsidR="001B086D" w:rsidRPr="00A977AD">
        <w:t xml:space="preserve"> or fulfilled.</w:t>
      </w:r>
      <w:r w:rsidR="00CA063A" w:rsidRPr="00A977AD">
        <w:t xml:space="preserve"> </w:t>
      </w:r>
      <w:r w:rsidRPr="00A977AD">
        <w:t>It may also mean that organisations that provide public drug and alcohol services</w:t>
      </w:r>
      <w:r w:rsidR="00CA063A" w:rsidRPr="00A977AD">
        <w:t xml:space="preserve"> </w:t>
      </w:r>
      <w:r w:rsidR="00851604" w:rsidRPr="00A977AD">
        <w:t xml:space="preserve">will need to adapt </w:t>
      </w:r>
      <w:r w:rsidR="00E52851" w:rsidRPr="00A977AD">
        <w:t xml:space="preserve">their service provision </w:t>
      </w:r>
      <w:r w:rsidR="00851604" w:rsidRPr="00A977AD">
        <w:t xml:space="preserve">to ensure they are meeting their obligations to </w:t>
      </w:r>
      <w:r w:rsidR="008A7993" w:rsidRPr="00A977AD">
        <w:t>implement</w:t>
      </w:r>
      <w:r w:rsidR="00851604" w:rsidRPr="00A977AD">
        <w:t xml:space="preserve"> these rights.</w:t>
      </w:r>
    </w:p>
    <w:p w14:paraId="5AE55A57" w14:textId="79BDA65B" w:rsidR="00C24920" w:rsidRPr="00A977AD" w:rsidRDefault="007D3823" w:rsidP="00DA0E1C">
      <w:r w:rsidRPr="00A977AD">
        <w:t xml:space="preserve">If passed into law through the </w:t>
      </w:r>
      <w:r w:rsidR="00307649" w:rsidRPr="00A977AD">
        <w:t xml:space="preserve">proposed </w:t>
      </w:r>
      <w:r w:rsidRPr="00A977AD">
        <w:t>Human Rights Bill,</w:t>
      </w:r>
      <w:r w:rsidR="00CA063A" w:rsidRPr="00A977AD">
        <w:t xml:space="preserve"> </w:t>
      </w:r>
      <w:r w:rsidR="009626A9" w:rsidRPr="00A977AD">
        <w:t>t</w:t>
      </w:r>
      <w:r w:rsidR="00C24920" w:rsidRPr="00A977AD">
        <w:t>his new overarching legal human rights</w:t>
      </w:r>
      <w:r w:rsidR="00832B44" w:rsidRPr="00A977AD">
        <w:t xml:space="preserve"> </w:t>
      </w:r>
      <w:r w:rsidR="00C24920" w:rsidRPr="00A977AD">
        <w:t>framework</w:t>
      </w:r>
      <w:r w:rsidR="00FE090D" w:rsidRPr="00A977AD">
        <w:t xml:space="preserve">, </w:t>
      </w:r>
      <w:r w:rsidR="00832B44" w:rsidRPr="00A977AD">
        <w:t>and particularly the righ</w:t>
      </w:r>
      <w:r w:rsidR="00A8585A" w:rsidRPr="00A977AD">
        <w:t xml:space="preserve">t to health, </w:t>
      </w:r>
      <w:r w:rsidR="00C24920" w:rsidRPr="00A977AD">
        <w:t xml:space="preserve">will strengthen the accountability and implementation of </w:t>
      </w:r>
      <w:r w:rsidR="00442642" w:rsidRPr="00A977AD">
        <w:t xml:space="preserve">existing </w:t>
      </w:r>
      <w:r w:rsidR="00C24920" w:rsidRPr="00A977AD">
        <w:t>processes</w:t>
      </w:r>
      <w:r w:rsidR="00124992" w:rsidRPr="00A977AD">
        <w:t xml:space="preserve"> related to substance us</w:t>
      </w:r>
      <w:r w:rsidR="00A86D24" w:rsidRPr="00A977AD">
        <w:t>e</w:t>
      </w:r>
      <w:r w:rsidR="00C24920" w:rsidRPr="00A977AD">
        <w:t>, such as the MAT Standards, and will be accompanied by campaigns of public awareness raising and capacity building of public authorities.</w:t>
      </w:r>
    </w:p>
    <w:p w14:paraId="51866DE5" w14:textId="5968C92F" w:rsidR="00460540" w:rsidRPr="00A977AD" w:rsidRDefault="005000E6" w:rsidP="00DA0E1C">
      <w:r w:rsidRPr="00A977AD">
        <w:t xml:space="preserve">In addition to the human rights </w:t>
      </w:r>
      <w:r w:rsidR="00BD1F5D" w:rsidRPr="00A977AD">
        <w:t>that will be incorporated through th</w:t>
      </w:r>
      <w:r w:rsidR="00A95594" w:rsidRPr="00A977AD">
        <w:t xml:space="preserve">e </w:t>
      </w:r>
      <w:r w:rsidR="00307649" w:rsidRPr="00A977AD">
        <w:t xml:space="preserve">proposed </w:t>
      </w:r>
      <w:r w:rsidR="00A95594" w:rsidRPr="00A977AD">
        <w:t>Bill</w:t>
      </w:r>
      <w:r w:rsidR="00BD1F5D" w:rsidRPr="00A977AD">
        <w:t xml:space="preserve">, people in Scotland affected by substance use </w:t>
      </w:r>
      <w:r w:rsidR="00F01B7F" w:rsidRPr="00A977AD">
        <w:t xml:space="preserve">also have </w:t>
      </w:r>
      <w:r w:rsidR="00CE7B36" w:rsidRPr="00A977AD">
        <w:t xml:space="preserve">civil and political </w:t>
      </w:r>
      <w:r w:rsidR="00F01B7F" w:rsidRPr="00A977AD">
        <w:t>rights under the European Convention on Human Rights</w:t>
      </w:r>
      <w:r w:rsidR="00870CD4" w:rsidRPr="00A977AD">
        <w:t xml:space="preserve"> which was</w:t>
      </w:r>
      <w:r w:rsidR="007942B2" w:rsidRPr="00A977AD">
        <w:t xml:space="preserve"> </w:t>
      </w:r>
      <w:r w:rsidR="00F01B7F" w:rsidRPr="00A977AD">
        <w:t>brought into UK law through the Human Rights Act</w:t>
      </w:r>
      <w:r w:rsidR="00870CD4" w:rsidRPr="00A977AD">
        <w:t xml:space="preserve"> </w:t>
      </w:r>
      <w:r w:rsidR="00F01B7F" w:rsidRPr="00A977AD">
        <w:t xml:space="preserve">1998. </w:t>
      </w:r>
    </w:p>
    <w:p w14:paraId="486C2743" w14:textId="77777777" w:rsidR="00666415" w:rsidRDefault="00870CD4" w:rsidP="00D939AF">
      <w:pPr>
        <w:pStyle w:val="Heading3"/>
        <w:spacing w:after="240"/>
      </w:pPr>
      <w:r w:rsidRPr="00A977AD">
        <w:t xml:space="preserve">The </w:t>
      </w:r>
      <w:r w:rsidR="00307649" w:rsidRPr="00A977AD">
        <w:t>proposed</w:t>
      </w:r>
      <w:r w:rsidR="00275EA0" w:rsidRPr="00A977AD">
        <w:t xml:space="preserve"> Scottish Human Rights Bill</w:t>
      </w:r>
      <w:bookmarkStart w:id="22" w:name="_Hlk144660126"/>
    </w:p>
    <w:p w14:paraId="6614C80E" w14:textId="05439D97" w:rsidR="00FC2DE9" w:rsidRPr="00666415" w:rsidRDefault="00D14CC7" w:rsidP="00B10B9C">
      <w:pPr>
        <w:rPr>
          <w:b/>
          <w:bCs/>
        </w:rPr>
      </w:pPr>
      <w:r w:rsidRPr="00A977AD">
        <w:t xml:space="preserve">The Scottish Government </w:t>
      </w:r>
      <w:r w:rsidR="002B19C8" w:rsidRPr="00A977AD">
        <w:t>had included</w:t>
      </w:r>
      <w:r w:rsidR="00103578" w:rsidRPr="00A977AD">
        <w:t xml:space="preserve"> the Bill in its Programme for Government 2023-2024 which mean</w:t>
      </w:r>
      <w:r w:rsidR="00446C55" w:rsidRPr="00A977AD">
        <w:t>t</w:t>
      </w:r>
      <w:r w:rsidR="00103578" w:rsidRPr="00A977AD">
        <w:t xml:space="preserve"> a Bill </w:t>
      </w:r>
      <w:r w:rsidR="00446C55" w:rsidRPr="00A977AD">
        <w:t>was</w:t>
      </w:r>
      <w:r w:rsidR="00103578" w:rsidRPr="00A977AD">
        <w:t xml:space="preserve"> be introduced by summer 2024</w:t>
      </w:r>
      <w:r w:rsidR="00CE63F2" w:rsidRPr="00A977AD">
        <w:t xml:space="preserve"> and </w:t>
      </w:r>
      <w:r w:rsidR="00446C55" w:rsidRPr="00A977AD">
        <w:t>it</w:t>
      </w:r>
      <w:r w:rsidR="00FC2DE9" w:rsidRPr="00A977AD">
        <w:t xml:space="preserve"> also </w:t>
      </w:r>
      <w:r w:rsidR="00B367A7" w:rsidRPr="00A977AD">
        <w:t>published a consultation paper on the Bill</w:t>
      </w:r>
      <w:r w:rsidR="008D6E3E">
        <w:t xml:space="preserve"> </w:t>
      </w:r>
      <w:r w:rsidR="000501B6" w:rsidRPr="0033541F">
        <w:rPr>
          <w:rStyle w:val="EndnoteReference"/>
          <w:b/>
          <w:bCs/>
          <w:sz w:val="40"/>
          <w:szCs w:val="40"/>
        </w:rPr>
        <w:endnoteReference w:id="1"/>
      </w:r>
      <w:r w:rsidR="008D6E3E" w:rsidRPr="0033541F">
        <w:rPr>
          <w:rFonts w:cs="Arial"/>
          <w:sz w:val="40"/>
          <w:szCs w:val="40"/>
        </w:rPr>
        <w:t>.</w:t>
      </w:r>
    </w:p>
    <w:p w14:paraId="26105ED7" w14:textId="6A72C6BF" w:rsidR="00FA70DE" w:rsidRPr="00A977AD" w:rsidRDefault="00103578" w:rsidP="00B10B9C">
      <w:r w:rsidRPr="00A977AD">
        <w:t xml:space="preserve">The </w:t>
      </w:r>
      <w:r w:rsidR="00413B3F" w:rsidRPr="00A977AD">
        <w:t>government</w:t>
      </w:r>
      <w:r w:rsidRPr="00A977AD">
        <w:t xml:space="preserve"> </w:t>
      </w:r>
      <w:r w:rsidR="00154E93" w:rsidRPr="00A977AD">
        <w:t xml:space="preserve">accepted all 30 of the recommendations </w:t>
      </w:r>
      <w:r w:rsidR="00097E45" w:rsidRPr="00A977AD">
        <w:t xml:space="preserve">of the </w:t>
      </w:r>
      <w:r w:rsidR="004830D9" w:rsidRPr="00A977AD">
        <w:t>National Taskforce for Human Rights Leadership</w:t>
      </w:r>
      <w:r w:rsidR="007A2215" w:rsidRPr="00A977AD">
        <w:t xml:space="preserve"> </w:t>
      </w:r>
      <w:r w:rsidR="00296465" w:rsidRPr="00A977AD">
        <w:t>whose</w:t>
      </w:r>
      <w:r w:rsidR="00DC1FBF" w:rsidRPr="00A977AD">
        <w:t xml:space="preserve"> Report provides </w:t>
      </w:r>
      <w:r w:rsidR="00296465" w:rsidRPr="00A977AD">
        <w:t>a valuable</w:t>
      </w:r>
      <w:r w:rsidR="00701CB6" w:rsidRPr="00A977AD">
        <w:t xml:space="preserve"> context for the development of the </w:t>
      </w:r>
      <w:r w:rsidR="00B37A39" w:rsidRPr="00A977AD">
        <w:t>Bill</w:t>
      </w:r>
      <w:r w:rsidR="00D00651" w:rsidRPr="00A977AD">
        <w:t xml:space="preserve"> and the new legal human </w:t>
      </w:r>
      <w:r w:rsidR="00D00651" w:rsidRPr="00A977AD">
        <w:lastRenderedPageBreak/>
        <w:t>rights framework</w:t>
      </w:r>
      <w:r w:rsidR="0033541F">
        <w:t xml:space="preserve"> </w:t>
      </w:r>
      <w:r w:rsidR="00153EAD" w:rsidRPr="0033541F">
        <w:rPr>
          <w:rStyle w:val="EndnoteReference"/>
          <w:b/>
          <w:bCs/>
          <w:sz w:val="40"/>
          <w:szCs w:val="40"/>
        </w:rPr>
        <w:endnoteReference w:id="2"/>
      </w:r>
      <w:r w:rsidR="008D6E3E" w:rsidRPr="0033541F">
        <w:rPr>
          <w:b/>
          <w:bCs/>
          <w:sz w:val="32"/>
          <w:szCs w:val="24"/>
        </w:rPr>
        <w:t>.</w:t>
      </w:r>
      <w:r w:rsidR="004830D9" w:rsidRPr="00A977AD">
        <w:rPr>
          <w:i/>
          <w:iCs/>
        </w:rPr>
        <w:t xml:space="preserve"> </w:t>
      </w:r>
      <w:r w:rsidR="006279EA" w:rsidRPr="00A977AD">
        <w:t xml:space="preserve">The </w:t>
      </w:r>
      <w:r w:rsidR="00D00651" w:rsidRPr="008D3CC2">
        <w:t xml:space="preserve">government consultation paper </w:t>
      </w:r>
      <w:r w:rsidR="006279EA" w:rsidRPr="008D3CC2">
        <w:t xml:space="preserve">committed to </w:t>
      </w:r>
      <w:r w:rsidR="004D5333" w:rsidRPr="008D3CC2">
        <w:t xml:space="preserve">implementing those recommendations </w:t>
      </w:r>
      <w:r w:rsidR="00097E45" w:rsidRPr="008D3CC2">
        <w:t xml:space="preserve">within the </w:t>
      </w:r>
      <w:r w:rsidR="00FA70DE" w:rsidRPr="008D3CC2">
        <w:t>limitations</w:t>
      </w:r>
      <w:r w:rsidR="00097E45" w:rsidRPr="008D3CC2">
        <w:t xml:space="preserve"> of the </w:t>
      </w:r>
      <w:r w:rsidR="00FA70DE" w:rsidRPr="008D3CC2">
        <w:t xml:space="preserve">current </w:t>
      </w:r>
      <w:r w:rsidR="00097E45" w:rsidRPr="008D3CC2">
        <w:t>devolution settlement.</w:t>
      </w:r>
      <w:bookmarkEnd w:id="22"/>
      <w:r w:rsidR="00530B5F" w:rsidRPr="00A977AD">
        <w:t xml:space="preserve"> </w:t>
      </w:r>
    </w:p>
    <w:p w14:paraId="66B3016C" w14:textId="46EDA644" w:rsidR="004C3C0E" w:rsidRPr="00A977AD" w:rsidRDefault="00BE2D9D" w:rsidP="008D3CC2">
      <w:r w:rsidRPr="00A977AD">
        <w:t>The Bill is therefore expected to include</w:t>
      </w:r>
      <w:r w:rsidR="004C3C0E" w:rsidRPr="00A977AD">
        <w:t>:</w:t>
      </w:r>
    </w:p>
    <w:p w14:paraId="26B298C2" w14:textId="01098EAC" w:rsidR="00F01B7F" w:rsidRPr="00A977AD" w:rsidRDefault="00F01B7F" w:rsidP="00227674">
      <w:pPr>
        <w:pStyle w:val="ListParagraph"/>
        <w:numPr>
          <w:ilvl w:val="0"/>
          <w:numId w:val="17"/>
        </w:numPr>
        <w:ind w:left="714" w:hanging="357"/>
        <w:contextualSpacing w:val="0"/>
      </w:pPr>
      <w:r w:rsidRPr="00A977AD">
        <w:t xml:space="preserve">the right to the highest attainable standard of </w:t>
      </w:r>
      <w:r w:rsidR="00F3081F" w:rsidRPr="00A977AD">
        <w:t xml:space="preserve">physical and mental </w:t>
      </w:r>
      <w:r w:rsidRPr="00A977AD">
        <w:t>health</w:t>
      </w:r>
      <w:r w:rsidR="00EA4324" w:rsidRPr="00A977AD">
        <w:t>,</w:t>
      </w:r>
      <w:r w:rsidRPr="00A977AD">
        <w:t xml:space="preserve"> </w:t>
      </w:r>
    </w:p>
    <w:p w14:paraId="37061101" w14:textId="26842C2C" w:rsidR="007F4D0F" w:rsidRPr="00A977AD" w:rsidRDefault="007F4D0F" w:rsidP="00227674">
      <w:pPr>
        <w:pStyle w:val="ListParagraph"/>
        <w:numPr>
          <w:ilvl w:val="0"/>
          <w:numId w:val="17"/>
        </w:numPr>
        <w:ind w:left="714" w:hanging="357"/>
        <w:contextualSpacing w:val="0"/>
      </w:pPr>
      <w:r w:rsidRPr="00A977AD">
        <w:t xml:space="preserve">the right to </w:t>
      </w:r>
      <w:r w:rsidR="0041500B" w:rsidRPr="00A977AD">
        <w:t>a healthy environment</w:t>
      </w:r>
      <w:r w:rsidR="00EA4324" w:rsidRPr="00A977AD">
        <w:t>,</w:t>
      </w:r>
    </w:p>
    <w:p w14:paraId="361A6F61" w14:textId="48B1C647" w:rsidR="007F4D0F" w:rsidRPr="00A977AD" w:rsidRDefault="00DD4333" w:rsidP="00227674">
      <w:pPr>
        <w:pStyle w:val="ListParagraph"/>
        <w:numPr>
          <w:ilvl w:val="0"/>
          <w:numId w:val="17"/>
        </w:numPr>
        <w:ind w:left="714" w:hanging="357"/>
        <w:contextualSpacing w:val="0"/>
      </w:pPr>
      <w:r w:rsidRPr="00A977AD">
        <w:t>the right to an adequate standard of living including adequate housing, food</w:t>
      </w:r>
      <w:r w:rsidR="003F28DD" w:rsidRPr="00A977AD">
        <w:t>, clothing</w:t>
      </w:r>
      <w:r w:rsidR="00EA4324" w:rsidRPr="00A977AD">
        <w:t>,</w:t>
      </w:r>
      <w:r w:rsidR="00AF749E" w:rsidRPr="00A977AD">
        <w:t xml:space="preserve"> and the continuous improvement of living conditions</w:t>
      </w:r>
      <w:r w:rsidR="00873269" w:rsidRPr="00A977AD">
        <w:t>,</w:t>
      </w:r>
    </w:p>
    <w:p w14:paraId="2AB00EC5" w14:textId="5C89073B" w:rsidR="003F28DD" w:rsidRPr="00A977AD" w:rsidRDefault="007F4D0F" w:rsidP="00227674">
      <w:pPr>
        <w:pStyle w:val="ListParagraph"/>
        <w:numPr>
          <w:ilvl w:val="0"/>
          <w:numId w:val="17"/>
        </w:numPr>
        <w:ind w:left="714" w:hanging="357"/>
        <w:contextualSpacing w:val="0"/>
      </w:pPr>
      <w:r w:rsidRPr="00A977AD">
        <w:t>the right to so</w:t>
      </w:r>
      <w:r w:rsidR="00DD4333" w:rsidRPr="00A977AD">
        <w:t>cial security</w:t>
      </w:r>
      <w:r w:rsidR="00EA4324" w:rsidRPr="00A977AD">
        <w:t>,</w:t>
      </w:r>
    </w:p>
    <w:p w14:paraId="034309BD" w14:textId="757C50A0" w:rsidR="00B13797" w:rsidRPr="00A977AD" w:rsidRDefault="00B13797" w:rsidP="00227674">
      <w:pPr>
        <w:pStyle w:val="ListParagraph"/>
        <w:numPr>
          <w:ilvl w:val="0"/>
          <w:numId w:val="17"/>
        </w:numPr>
        <w:ind w:left="714" w:hanging="357"/>
        <w:contextualSpacing w:val="0"/>
      </w:pPr>
      <w:r w:rsidRPr="00A977AD">
        <w:t>the right to take part in cultural life</w:t>
      </w:r>
      <w:r w:rsidR="00EA4324" w:rsidRPr="00A977AD">
        <w:t>,</w:t>
      </w:r>
    </w:p>
    <w:p w14:paraId="01A97FAA" w14:textId="033F0D1A" w:rsidR="00DD4333" w:rsidRPr="00A977AD" w:rsidRDefault="00DD4333" w:rsidP="00227674">
      <w:pPr>
        <w:pStyle w:val="ListParagraph"/>
        <w:numPr>
          <w:ilvl w:val="0"/>
          <w:numId w:val="17"/>
        </w:numPr>
        <w:ind w:left="714" w:hanging="357"/>
        <w:contextualSpacing w:val="0"/>
      </w:pPr>
      <w:r w:rsidRPr="00A977AD">
        <w:t xml:space="preserve">the right to </w:t>
      </w:r>
      <w:r w:rsidR="0041500B" w:rsidRPr="00A977AD">
        <w:t>education</w:t>
      </w:r>
      <w:r w:rsidR="00052210" w:rsidRPr="00A977AD">
        <w:t>,</w:t>
      </w:r>
      <w:r w:rsidR="00F616F8" w:rsidRPr="00A977AD">
        <w:t xml:space="preserve"> </w:t>
      </w:r>
    </w:p>
    <w:p w14:paraId="4D477D4C" w14:textId="00A3F79D" w:rsidR="00502234" w:rsidRPr="00A977AD" w:rsidRDefault="00502234" w:rsidP="00227674">
      <w:pPr>
        <w:pStyle w:val="ListParagraph"/>
        <w:numPr>
          <w:ilvl w:val="0"/>
          <w:numId w:val="17"/>
        </w:numPr>
        <w:ind w:left="714" w:hanging="357"/>
        <w:contextualSpacing w:val="0"/>
      </w:pPr>
      <w:r w:rsidRPr="00A977AD">
        <w:t xml:space="preserve">specific rights for women, disabled people, </w:t>
      </w:r>
      <w:r w:rsidR="00FA60A9" w:rsidRPr="00A977AD">
        <w:t>and people and groups who experience raci</w:t>
      </w:r>
      <w:r w:rsidR="00A925CC" w:rsidRPr="00A977AD">
        <w:t>al discrimination</w:t>
      </w:r>
      <w:r w:rsidR="00BB2D6E" w:rsidRPr="00A977AD">
        <w:t>.</w:t>
      </w:r>
    </w:p>
    <w:p w14:paraId="7C21FF9C" w14:textId="5B1EBE7B" w:rsidR="009B7149" w:rsidRPr="00A977AD" w:rsidRDefault="0008710E" w:rsidP="008D3CC2">
      <w:bookmarkStart w:id="23" w:name="_Hlk145241194"/>
      <w:r w:rsidRPr="00A977AD">
        <w:t xml:space="preserve">The </w:t>
      </w:r>
      <w:r w:rsidR="00CA7D7C" w:rsidRPr="00A977AD">
        <w:t>Scottish Government did however not include the Bill in its Programme for Government for 2024/25.</w:t>
      </w:r>
      <w:r w:rsidR="003109A1" w:rsidRPr="00A977AD">
        <w:t xml:space="preserve"> It</w:t>
      </w:r>
      <w:r w:rsidR="002B19C8" w:rsidRPr="00A977AD">
        <w:t xml:space="preserve"> </w:t>
      </w:r>
      <w:r w:rsidRPr="00A977AD">
        <w:t>is still in development</w:t>
      </w:r>
      <w:r w:rsidR="003109A1" w:rsidRPr="00A977AD">
        <w:t xml:space="preserve">, including </w:t>
      </w:r>
      <w:r w:rsidR="007C5CFE" w:rsidRPr="00A977AD">
        <w:t xml:space="preserve">efforts to strengthen it </w:t>
      </w:r>
      <w:r w:rsidR="003109A1" w:rsidRPr="00A977AD">
        <w:t xml:space="preserve">through consultation with the </w:t>
      </w:r>
      <w:r w:rsidR="002B19C8" w:rsidRPr="00A977AD">
        <w:t xml:space="preserve">new </w:t>
      </w:r>
      <w:r w:rsidR="003109A1" w:rsidRPr="00A977AD">
        <w:t xml:space="preserve">UK </w:t>
      </w:r>
      <w:r w:rsidR="003629B0" w:rsidRPr="00A977AD">
        <w:t>Government,</w:t>
      </w:r>
      <w:r w:rsidRPr="00A977AD">
        <w:t xml:space="preserve"> and </w:t>
      </w:r>
      <w:r w:rsidR="003629B0" w:rsidRPr="00A977AD">
        <w:t xml:space="preserve">so </w:t>
      </w:r>
      <w:r w:rsidR="00450186" w:rsidRPr="00A977AD">
        <w:t xml:space="preserve">will not now be introduced in the current parliamentary session. The Scottish Government </w:t>
      </w:r>
      <w:r w:rsidR="003629B0" w:rsidRPr="00A977AD">
        <w:t xml:space="preserve">has stated that it </w:t>
      </w:r>
      <w:r w:rsidR="00450186" w:rsidRPr="00A977AD">
        <w:t xml:space="preserve">remains </w:t>
      </w:r>
      <w:r w:rsidR="003629B0" w:rsidRPr="00A977AD">
        <w:t xml:space="preserve">fully </w:t>
      </w:r>
      <w:r w:rsidR="00450186" w:rsidRPr="00A977AD">
        <w:t xml:space="preserve">committed to the Bill and </w:t>
      </w:r>
      <w:r w:rsidR="002F2F28" w:rsidRPr="00A977AD">
        <w:t>intends to introduce it in the new parliamentary session should it be re-elected</w:t>
      </w:r>
      <w:r w:rsidR="009B7149" w:rsidRPr="00A977AD">
        <w:t xml:space="preserve"> in 2026</w:t>
      </w:r>
      <w:r w:rsidR="002F2F28" w:rsidRPr="00A977AD">
        <w:t>.</w:t>
      </w:r>
      <w:r w:rsidRPr="00A977AD">
        <w:t xml:space="preserve"> </w:t>
      </w:r>
    </w:p>
    <w:p w14:paraId="7FD03578" w14:textId="56D3478A" w:rsidR="008E5612" w:rsidRPr="00E81A65" w:rsidRDefault="0008710E" w:rsidP="008D3CC2">
      <w:r w:rsidRPr="00A977AD">
        <w:t xml:space="preserve">It is </w:t>
      </w:r>
      <w:r w:rsidR="009B7149" w:rsidRPr="00A977AD">
        <w:t xml:space="preserve">therefore </w:t>
      </w:r>
      <w:r w:rsidRPr="00A977AD">
        <w:t xml:space="preserve">not yet clear exactly how these international rights and the considerations they will give rise to will be implemented in Scotland. The consultation paper on the Bill proposed a direct treaty text approach to incorporation </w:t>
      </w:r>
      <w:r w:rsidR="005751E7" w:rsidRPr="00A977AD">
        <w:t>to</w:t>
      </w:r>
      <w:r w:rsidRPr="00A977AD">
        <w:t xml:space="preserve"> ensure </w:t>
      </w:r>
      <w:r w:rsidR="0070189D" w:rsidRPr="00A977AD">
        <w:t>alignment</w:t>
      </w:r>
      <w:r w:rsidRPr="00A977AD">
        <w:t xml:space="preserve"> with international law. This </w:t>
      </w:r>
      <w:r w:rsidR="005751E7" w:rsidRPr="00A977AD">
        <w:t>would mean</w:t>
      </w:r>
      <w:r w:rsidRPr="00A977AD">
        <w:t xml:space="preserve"> that the rights, and their domestic interpretation, will closely relate to the international understanding of rights.</w:t>
      </w:r>
    </w:p>
    <w:p w14:paraId="7A20E104" w14:textId="448A118D" w:rsidR="00081A9B" w:rsidRPr="00A977AD" w:rsidRDefault="00081A9B" w:rsidP="00B10B9C">
      <w:pPr>
        <w:pStyle w:val="Heading3"/>
        <w:spacing w:after="120"/>
      </w:pPr>
      <w:r w:rsidRPr="00A977AD">
        <w:t>Human Rights Act 1998</w:t>
      </w:r>
    </w:p>
    <w:p w14:paraId="5DFC56DD" w14:textId="33B3FC8D" w:rsidR="00851604" w:rsidRPr="00A977AD" w:rsidRDefault="00081A9B" w:rsidP="00B10B9C">
      <w:r w:rsidRPr="00A977AD">
        <w:t xml:space="preserve">In addition to the rights that will be incorporated through the </w:t>
      </w:r>
      <w:r w:rsidR="003629B0" w:rsidRPr="00A977AD">
        <w:t xml:space="preserve">proposed </w:t>
      </w:r>
      <w:r w:rsidRPr="00A977AD">
        <w:t>S</w:t>
      </w:r>
      <w:r w:rsidR="00A925CC" w:rsidRPr="00A977AD">
        <w:t>cottish Human Rights Bill</w:t>
      </w:r>
      <w:r w:rsidRPr="00A977AD">
        <w:t xml:space="preserve">, there </w:t>
      </w:r>
      <w:r w:rsidR="00415BD0">
        <w:t xml:space="preserve">are </w:t>
      </w:r>
      <w:r w:rsidRPr="00A977AD">
        <w:t xml:space="preserve">already </w:t>
      </w:r>
      <w:r w:rsidR="002D76B1" w:rsidRPr="00A977AD">
        <w:t>certain</w:t>
      </w:r>
      <w:r w:rsidRPr="00A977AD">
        <w:t xml:space="preserve"> human rights </w:t>
      </w:r>
      <w:r w:rsidR="000C5E0E" w:rsidRPr="00A977AD">
        <w:t xml:space="preserve">of a civil and political nature </w:t>
      </w:r>
      <w:r w:rsidRPr="00A977AD">
        <w:t>incorporated into Scots law from the European Convention on Human Rights</w:t>
      </w:r>
      <w:r w:rsidR="001F5483" w:rsidRPr="00A977AD">
        <w:t xml:space="preserve"> through</w:t>
      </w:r>
      <w:r w:rsidRPr="00A977AD">
        <w:t xml:space="preserve"> the H</w:t>
      </w:r>
      <w:r w:rsidR="001F5483" w:rsidRPr="00A977AD">
        <w:t xml:space="preserve">uman </w:t>
      </w:r>
      <w:r w:rsidRPr="00A977AD">
        <w:t>R</w:t>
      </w:r>
      <w:r w:rsidR="001F5483" w:rsidRPr="00A977AD">
        <w:t xml:space="preserve">ights </w:t>
      </w:r>
      <w:r w:rsidRPr="00A977AD">
        <w:t>A</w:t>
      </w:r>
      <w:r w:rsidR="001F5483" w:rsidRPr="00A977AD">
        <w:t>ct</w:t>
      </w:r>
      <w:r w:rsidRPr="00A977AD">
        <w:t xml:space="preserve"> </w:t>
      </w:r>
      <w:r w:rsidR="00FE22B7" w:rsidRPr="00A977AD">
        <w:t xml:space="preserve">1998 </w:t>
      </w:r>
      <w:r w:rsidRPr="00A977AD">
        <w:t xml:space="preserve">and </w:t>
      </w:r>
      <w:r w:rsidRPr="00A977AD">
        <w:lastRenderedPageBreak/>
        <w:t>the S</w:t>
      </w:r>
      <w:r w:rsidR="001F5483" w:rsidRPr="00A977AD">
        <w:t xml:space="preserve">cotland </w:t>
      </w:r>
      <w:r w:rsidRPr="00A977AD">
        <w:t>A</w:t>
      </w:r>
      <w:r w:rsidR="001F5483" w:rsidRPr="00A977AD">
        <w:t>ct</w:t>
      </w:r>
      <w:r w:rsidR="00FE22B7" w:rsidRPr="00A977AD">
        <w:t xml:space="preserve"> 1998</w:t>
      </w:r>
      <w:r w:rsidRPr="00A977AD">
        <w:t xml:space="preserve">. Of </w:t>
      </w:r>
      <w:r w:rsidR="00296CC1" w:rsidRPr="00A977AD">
        <w:t>relevance</w:t>
      </w:r>
      <w:r w:rsidRPr="00A977AD">
        <w:t xml:space="preserve"> to </w:t>
      </w:r>
      <w:r w:rsidR="00851604" w:rsidRPr="00A977AD">
        <w:t xml:space="preserve">people affected by </w:t>
      </w:r>
      <w:r w:rsidR="000C5E0E" w:rsidRPr="00A977AD">
        <w:t>substance use</w:t>
      </w:r>
      <w:r w:rsidRPr="00A977AD">
        <w:t xml:space="preserve"> are</w:t>
      </w:r>
      <w:r w:rsidR="00851604" w:rsidRPr="00A977AD">
        <w:t>:</w:t>
      </w:r>
    </w:p>
    <w:p w14:paraId="1351FF29" w14:textId="745B1946" w:rsidR="00851604" w:rsidRPr="00A977AD" w:rsidRDefault="00081A9B" w:rsidP="00227674">
      <w:pPr>
        <w:pStyle w:val="ListParagraph"/>
        <w:numPr>
          <w:ilvl w:val="0"/>
          <w:numId w:val="18"/>
        </w:numPr>
        <w:ind w:left="714" w:hanging="357"/>
        <w:contextualSpacing w:val="0"/>
      </w:pPr>
      <w:r w:rsidRPr="00A977AD">
        <w:t xml:space="preserve">the right to </w:t>
      </w:r>
      <w:r w:rsidR="00E10119" w:rsidRPr="00A977AD">
        <w:t>life.</w:t>
      </w:r>
      <w:r w:rsidRPr="00A977AD">
        <w:t xml:space="preserve"> </w:t>
      </w:r>
    </w:p>
    <w:p w14:paraId="3D25C75E" w14:textId="32F225B4" w:rsidR="00851604" w:rsidRPr="00A977AD" w:rsidRDefault="00E80794" w:rsidP="00227674">
      <w:pPr>
        <w:pStyle w:val="ListParagraph"/>
        <w:numPr>
          <w:ilvl w:val="0"/>
          <w:numId w:val="18"/>
        </w:numPr>
        <w:ind w:left="714" w:hanging="357"/>
        <w:contextualSpacing w:val="0"/>
      </w:pPr>
      <w:r w:rsidRPr="00A977AD">
        <w:t xml:space="preserve">private and family </w:t>
      </w:r>
      <w:r w:rsidR="00E10119" w:rsidRPr="00A977AD">
        <w:t>life.</w:t>
      </w:r>
    </w:p>
    <w:p w14:paraId="3DBE98E1" w14:textId="40DC8DCA" w:rsidR="00851604" w:rsidRPr="00A977AD" w:rsidRDefault="00851604" w:rsidP="00227674">
      <w:pPr>
        <w:pStyle w:val="ListParagraph"/>
        <w:numPr>
          <w:ilvl w:val="0"/>
          <w:numId w:val="18"/>
        </w:numPr>
        <w:ind w:left="714" w:hanging="357"/>
        <w:contextualSpacing w:val="0"/>
      </w:pPr>
      <w:r w:rsidRPr="00A977AD">
        <w:t>the right to</w:t>
      </w:r>
      <w:r w:rsidR="008404F3" w:rsidRPr="00A977AD">
        <w:t xml:space="preserve"> </w:t>
      </w:r>
      <w:r w:rsidR="00081A9B" w:rsidRPr="00A977AD">
        <w:t>liberty</w:t>
      </w:r>
      <w:r w:rsidRPr="00A977AD">
        <w:t xml:space="preserve"> and </w:t>
      </w:r>
      <w:r w:rsidR="00E10119" w:rsidRPr="00A977AD">
        <w:t>security.</w:t>
      </w:r>
      <w:r w:rsidR="00081A9B" w:rsidRPr="00A977AD">
        <w:t xml:space="preserve"> </w:t>
      </w:r>
    </w:p>
    <w:p w14:paraId="5A653DA1" w14:textId="164DB251" w:rsidR="00081A9B" w:rsidRPr="00A977AD" w:rsidRDefault="00081A9B" w:rsidP="00227674">
      <w:pPr>
        <w:pStyle w:val="ListParagraph"/>
        <w:numPr>
          <w:ilvl w:val="0"/>
          <w:numId w:val="18"/>
        </w:numPr>
        <w:ind w:left="714" w:hanging="357"/>
        <w:contextualSpacing w:val="0"/>
      </w:pPr>
      <w:r w:rsidRPr="00A977AD">
        <w:t>freedom from torture and other cruel, inhuman, or degrading treatment or punishment</w:t>
      </w:r>
      <w:r w:rsidR="0007350C" w:rsidRPr="00A977AD">
        <w:t xml:space="preserve"> as well as </w:t>
      </w:r>
      <w:r w:rsidRPr="00A977AD">
        <w:t>freedom from arbitrary arrest and detention</w:t>
      </w:r>
      <w:r w:rsidR="0007350C" w:rsidRPr="00A977AD">
        <w:t>.</w:t>
      </w:r>
    </w:p>
    <w:p w14:paraId="0ACBA197" w14:textId="11F77B49" w:rsidR="006904FB" w:rsidRPr="00A977AD" w:rsidRDefault="00922B4D" w:rsidP="00B10B9C">
      <w:r w:rsidRPr="00A977AD">
        <w:t>Section 2 of the Human Rights Act 1998 requires courts or tribunals to ‘take into account’ an</w:t>
      </w:r>
      <w:r w:rsidR="008404F3" w:rsidRPr="00A977AD">
        <w:t>y</w:t>
      </w:r>
      <w:r w:rsidRPr="00A977AD">
        <w:t xml:space="preserve"> ‘judgment, decision, declaration</w:t>
      </w:r>
      <w:r w:rsidR="005F5FFA" w:rsidRPr="00A977AD">
        <w:t>,</w:t>
      </w:r>
      <w:r w:rsidRPr="00A977AD">
        <w:t xml:space="preserve"> or advisory opinion of the European Court of Human Rights’ in determining questions arising in connection with convention rights. The Council of Europe </w:t>
      </w:r>
      <w:r w:rsidR="008404F3" w:rsidRPr="00A977AD">
        <w:t>has developed guidance to aid understanding of h</w:t>
      </w:r>
      <w:r w:rsidRPr="00A977AD">
        <w:t xml:space="preserve">uman </w:t>
      </w:r>
      <w:r w:rsidR="008404F3" w:rsidRPr="00A977AD">
        <w:t>r</w:t>
      </w:r>
      <w:r w:rsidRPr="00A977AD">
        <w:t xml:space="preserve">ights </w:t>
      </w:r>
      <w:r w:rsidR="008404F3" w:rsidRPr="00A977AD">
        <w:t>and</w:t>
      </w:r>
      <w:r w:rsidRPr="00A977AD">
        <w:t xml:space="preserve"> </w:t>
      </w:r>
      <w:r w:rsidR="008404F3" w:rsidRPr="00A977AD">
        <w:t>d</w:t>
      </w:r>
      <w:r w:rsidRPr="00A977AD">
        <w:t>rug</w:t>
      </w:r>
      <w:r w:rsidR="008404F3" w:rsidRPr="00A977AD">
        <w:t xml:space="preserve"> policy </w:t>
      </w:r>
      <w:hyperlink w:anchor="_Section_3._Resources" w:history="1">
        <w:r w:rsidRPr="00333AB6">
          <w:rPr>
            <w:rStyle w:val="Hyperlink"/>
          </w:rPr>
          <w:t>(see Section 3).</w:t>
        </w:r>
      </w:hyperlink>
      <w:r w:rsidRPr="00333AB6">
        <w:t xml:space="preserve"> </w:t>
      </w:r>
    </w:p>
    <w:p w14:paraId="668B7E54" w14:textId="5521BFE5" w:rsidR="00AE1EA5" w:rsidRPr="005626D7" w:rsidRDefault="00473630" w:rsidP="005626D7">
      <w:pPr>
        <w:pStyle w:val="Heading3"/>
        <w:spacing w:after="120"/>
      </w:pPr>
      <w:bookmarkStart w:id="24" w:name="_Toc184287890"/>
      <w:bookmarkStart w:id="25" w:name="_Toc184287987"/>
      <w:bookmarkStart w:id="26" w:name="_Toc184288718"/>
      <w:bookmarkStart w:id="27" w:name="_Toc184288763"/>
      <w:bookmarkStart w:id="28" w:name="_Toc184291312"/>
      <w:bookmarkStart w:id="29" w:name="_Toc184298358"/>
      <w:bookmarkStart w:id="30" w:name="_Toc184298455"/>
      <w:r w:rsidRPr="005626D7">
        <w:t xml:space="preserve">(b) </w:t>
      </w:r>
      <w:r w:rsidR="00AE1EA5" w:rsidRPr="005626D7">
        <w:t>Limit</w:t>
      </w:r>
      <w:r w:rsidR="00EB707A" w:rsidRPr="005626D7">
        <w:t>ations</w:t>
      </w:r>
      <w:r w:rsidR="00AE1EA5" w:rsidRPr="005626D7">
        <w:t xml:space="preserve"> of Devolution</w:t>
      </w:r>
      <w:bookmarkEnd w:id="24"/>
      <w:bookmarkEnd w:id="25"/>
      <w:bookmarkEnd w:id="26"/>
      <w:bookmarkEnd w:id="27"/>
      <w:bookmarkEnd w:id="28"/>
      <w:bookmarkEnd w:id="29"/>
      <w:bookmarkEnd w:id="30"/>
    </w:p>
    <w:p w14:paraId="107A4B1D" w14:textId="6998CE1C" w:rsidR="00AE1EA5" w:rsidRPr="00A977AD" w:rsidRDefault="00AE1EA5" w:rsidP="005626D7">
      <w:r w:rsidRPr="00A977AD">
        <w:t xml:space="preserve">Incorporation of the international human rights referred to above into Scots law is achievable in the context of devolution, although complicated by the need to navigate reserved areas under the Scotland Act 1998, as amended.   </w:t>
      </w:r>
    </w:p>
    <w:p w14:paraId="3EA04EE8" w14:textId="51BAA73A" w:rsidR="00AE1EA5" w:rsidRPr="00A977AD" w:rsidRDefault="00AE1EA5" w:rsidP="005626D7">
      <w:r w:rsidRPr="00A977AD">
        <w:t xml:space="preserve">All Scottish Parliament legislation must be within </w:t>
      </w:r>
      <w:r w:rsidR="008121B5" w:rsidRPr="00A977AD">
        <w:t xml:space="preserve">devolved </w:t>
      </w:r>
      <w:r w:rsidRPr="00A977AD">
        <w:t>competence</w:t>
      </w:r>
      <w:r w:rsidR="009F2B6D" w:rsidRPr="00A977AD">
        <w:t xml:space="preserve">. The Scotland Act, as amended, reserves a range of policy areas to the </w:t>
      </w:r>
      <w:r w:rsidR="008219E7" w:rsidRPr="00A977AD">
        <w:t>U</w:t>
      </w:r>
      <w:r w:rsidR="009F2B6D" w:rsidRPr="00A977AD">
        <w:t>K Parliament.</w:t>
      </w:r>
      <w:r w:rsidRPr="00A977AD">
        <w:t xml:space="preserve"> The S</w:t>
      </w:r>
      <w:r w:rsidR="003550B2" w:rsidRPr="00A977AD">
        <w:t xml:space="preserve">cottish </w:t>
      </w:r>
      <w:r w:rsidRPr="00A977AD">
        <w:t>P</w:t>
      </w:r>
      <w:r w:rsidR="003550B2" w:rsidRPr="00A977AD">
        <w:t>arliament</w:t>
      </w:r>
      <w:r w:rsidRPr="00A977AD">
        <w:t xml:space="preserve"> cannot pass legislation that relates to reserved areas</w:t>
      </w:r>
      <w:r w:rsidR="009B1AEA" w:rsidRPr="00A977AD">
        <w:t xml:space="preserve"> </w:t>
      </w:r>
      <w:r w:rsidRPr="00A977AD">
        <w:t>or modify Scots law as it applies to reserved matters.</w:t>
      </w:r>
    </w:p>
    <w:p w14:paraId="5D857F02" w14:textId="3D69BA6E" w:rsidR="00127121" w:rsidRPr="00A977AD" w:rsidRDefault="004B75FC" w:rsidP="005626D7">
      <w:r w:rsidRPr="00A977AD">
        <w:t>I</w:t>
      </w:r>
      <w:r w:rsidR="00F90648" w:rsidRPr="00A977AD">
        <w:t>n the context of substance use</w:t>
      </w:r>
      <w:r w:rsidRPr="00A977AD">
        <w:t xml:space="preserve"> this is significant</w:t>
      </w:r>
      <w:r w:rsidR="00F90648" w:rsidRPr="00A977AD">
        <w:t xml:space="preserve"> </w:t>
      </w:r>
      <w:r w:rsidR="00684AB3" w:rsidRPr="00A977AD">
        <w:t>in relation to</w:t>
      </w:r>
      <w:r w:rsidR="00070D6A" w:rsidRPr="00A977AD">
        <w:t>,</w:t>
      </w:r>
      <w:r w:rsidR="00684AB3" w:rsidRPr="00A977AD">
        <w:t xml:space="preserve"> </w:t>
      </w:r>
      <w:r w:rsidR="00070D6A" w:rsidRPr="00A977AD">
        <w:t xml:space="preserve">for example, </w:t>
      </w:r>
      <w:r w:rsidR="00684AB3" w:rsidRPr="00A977AD">
        <w:t xml:space="preserve">equality and to </w:t>
      </w:r>
      <w:r w:rsidR="00F90648" w:rsidRPr="00A977AD">
        <w:t>the UK Misuse of Drugs Act 1971.</w:t>
      </w:r>
    </w:p>
    <w:p w14:paraId="3B63C8F0" w14:textId="4E764727" w:rsidR="00DE6C97" w:rsidRPr="00A977AD" w:rsidRDefault="00963D0F" w:rsidP="00227674">
      <w:pPr>
        <w:pStyle w:val="ListParagraph"/>
        <w:numPr>
          <w:ilvl w:val="0"/>
          <w:numId w:val="19"/>
        </w:numPr>
      </w:pPr>
      <w:bookmarkStart w:id="31" w:name="_Hlk145242782"/>
      <w:bookmarkEnd w:id="23"/>
      <w:r w:rsidRPr="00A977AD">
        <w:t>Equality</w:t>
      </w:r>
    </w:p>
    <w:p w14:paraId="57174B7C" w14:textId="4740438B" w:rsidR="003C603E" w:rsidRPr="00A977AD" w:rsidRDefault="00A674F5" w:rsidP="005626D7">
      <w:r w:rsidRPr="00A977AD">
        <w:t>The</w:t>
      </w:r>
      <w:r w:rsidR="007447E1" w:rsidRPr="00A977AD">
        <w:t xml:space="preserve"> Scottish</w:t>
      </w:r>
      <w:r w:rsidRPr="00A977AD">
        <w:t xml:space="preserve"> </w:t>
      </w:r>
      <w:r w:rsidR="000054AD" w:rsidRPr="00A977AD">
        <w:t>G</w:t>
      </w:r>
      <w:r w:rsidR="00AE4499" w:rsidRPr="00A977AD">
        <w:t>overnment</w:t>
      </w:r>
      <w:r w:rsidRPr="00A977AD">
        <w:t xml:space="preserve"> c</w:t>
      </w:r>
      <w:r w:rsidR="00B10656" w:rsidRPr="00A977AD">
        <w:t xml:space="preserve">onsultation paper </w:t>
      </w:r>
      <w:r w:rsidR="007447E1" w:rsidRPr="00A977AD">
        <w:t xml:space="preserve">on the </w:t>
      </w:r>
      <w:r w:rsidR="007C5CFE" w:rsidRPr="00A977AD">
        <w:t xml:space="preserve">proposed </w:t>
      </w:r>
      <w:r w:rsidR="007447E1" w:rsidRPr="00A977AD">
        <w:t xml:space="preserve">Human Rights Bill </w:t>
      </w:r>
      <w:r w:rsidR="0012742B" w:rsidRPr="00A977AD">
        <w:t>states the intention is to provide an equality clause</w:t>
      </w:r>
      <w:r w:rsidR="003C603E" w:rsidRPr="00A977AD">
        <w:t xml:space="preserve"> to ensure everyone enjoys equal access to all rights contained in the </w:t>
      </w:r>
      <w:r w:rsidR="007C5CFE" w:rsidRPr="00A977AD">
        <w:t xml:space="preserve">proposed </w:t>
      </w:r>
      <w:r w:rsidR="005B2670" w:rsidRPr="00A977AD">
        <w:t xml:space="preserve">Scottish Human Rights </w:t>
      </w:r>
      <w:r w:rsidR="00AE4499" w:rsidRPr="00A977AD">
        <w:t>Bill</w:t>
      </w:r>
      <w:r w:rsidR="003C603E" w:rsidRPr="00A977AD">
        <w:t>.</w:t>
      </w:r>
    </w:p>
    <w:p w14:paraId="4E77F449" w14:textId="5677176B" w:rsidR="00B05E38" w:rsidRPr="00A977AD" w:rsidRDefault="00662562" w:rsidP="005626D7">
      <w:r w:rsidRPr="00A977AD">
        <w:t xml:space="preserve">This will be carefully drafted to </w:t>
      </w:r>
      <w:r w:rsidR="00B05E38" w:rsidRPr="00A977AD">
        <w:t xml:space="preserve">operate within the limits of the </w:t>
      </w:r>
      <w:r w:rsidR="00AC5297" w:rsidRPr="00A977AD">
        <w:t>“</w:t>
      </w:r>
      <w:r w:rsidR="00B05E38" w:rsidRPr="00A977AD">
        <w:t>equal opportunities</w:t>
      </w:r>
      <w:r w:rsidR="00AC5297" w:rsidRPr="00A977AD">
        <w:t>”</w:t>
      </w:r>
      <w:r w:rsidR="00B05E38" w:rsidRPr="00A977AD">
        <w:t xml:space="preserve"> reservation in the Scotland Act 1998 and the need to be mindful of how it will operate within the wider Equality Act framework</w:t>
      </w:r>
      <w:r w:rsidRPr="00A977AD">
        <w:t>.</w:t>
      </w:r>
    </w:p>
    <w:p w14:paraId="02259777" w14:textId="5FA8E211" w:rsidR="0034381F" w:rsidRPr="00A977AD" w:rsidRDefault="00E307A4" w:rsidP="005626D7">
      <w:r w:rsidRPr="00A977AD">
        <w:lastRenderedPageBreak/>
        <w:t xml:space="preserve">The consultation paper considers </w:t>
      </w:r>
      <w:r w:rsidR="002D6C49" w:rsidRPr="00A977AD">
        <w:t xml:space="preserve">that </w:t>
      </w:r>
      <w:r w:rsidRPr="00A977AD">
        <w:t>one way of doing this would be to model the equality clause on Art</w:t>
      </w:r>
      <w:r w:rsidR="00160B58" w:rsidRPr="00A977AD">
        <w:t>icle</w:t>
      </w:r>
      <w:r w:rsidRPr="00A977AD">
        <w:t xml:space="preserve"> 14</w:t>
      </w:r>
      <w:r w:rsidR="00B25B15" w:rsidRPr="00A977AD">
        <w:t xml:space="preserve">, European Convention on Human Rights </w:t>
      </w:r>
      <w:r w:rsidRPr="00A977AD">
        <w:t>or Art</w:t>
      </w:r>
      <w:r w:rsidR="00160B58" w:rsidRPr="00A977AD">
        <w:t>icle</w:t>
      </w:r>
      <w:r w:rsidRPr="00A977AD">
        <w:t xml:space="preserve"> 2</w:t>
      </w:r>
      <w:r w:rsidR="00B25B15" w:rsidRPr="00A977AD">
        <w:t>, International Covenant on Economic, Social and Cultural Rights</w:t>
      </w:r>
      <w:r w:rsidR="007447E1" w:rsidRPr="00A977AD">
        <w:t xml:space="preserve"> (ICESCR)</w:t>
      </w:r>
      <w:r w:rsidR="00A92CE3" w:rsidRPr="00A977AD">
        <w:t>.</w:t>
      </w:r>
      <w:r w:rsidRPr="00A977AD">
        <w:t xml:space="preserve"> </w:t>
      </w:r>
    </w:p>
    <w:p w14:paraId="33D55D8F" w14:textId="52B56201" w:rsidR="00A12697" w:rsidRPr="00A977AD" w:rsidRDefault="00AC748A" w:rsidP="005626D7">
      <w:r w:rsidRPr="00A977AD">
        <w:t xml:space="preserve">Article 2.2 of </w:t>
      </w:r>
      <w:r w:rsidR="007447E1" w:rsidRPr="00A977AD">
        <w:t>ICESCR</w:t>
      </w:r>
      <w:r w:rsidR="008404F3" w:rsidRPr="00A977AD">
        <w:t xml:space="preserve"> </w:t>
      </w:r>
      <w:r w:rsidRPr="00A977AD">
        <w:t>states that the rights within th</w:t>
      </w:r>
      <w:r w:rsidR="007447E1" w:rsidRPr="00A977AD">
        <w:t>at</w:t>
      </w:r>
      <w:r w:rsidRPr="00A977AD">
        <w:t xml:space="preserve"> Covenant </w:t>
      </w:r>
      <w:r w:rsidR="00B25B15" w:rsidRPr="00A977AD">
        <w:t>“</w:t>
      </w:r>
      <w:r w:rsidR="00606B0D" w:rsidRPr="00A977AD">
        <w:t xml:space="preserve">will be exercised without discrimination of any kind as to race, colour, sex, </w:t>
      </w:r>
      <w:r w:rsidR="00D5314C" w:rsidRPr="00A977AD">
        <w:t>language, religion, political or other opinion, national or social origin, property</w:t>
      </w:r>
      <w:r w:rsidR="00B25B15" w:rsidRPr="00A977AD">
        <w:t xml:space="preserve">, birth </w:t>
      </w:r>
      <w:r w:rsidR="00B25B15" w:rsidRPr="005626D7">
        <w:rPr>
          <w:b/>
          <w:bCs/>
        </w:rPr>
        <w:t>or</w:t>
      </w:r>
      <w:r w:rsidR="00B25B15" w:rsidRPr="00A977AD">
        <w:rPr>
          <w:i/>
          <w:iCs/>
        </w:rPr>
        <w:t xml:space="preserve"> </w:t>
      </w:r>
      <w:r w:rsidR="00B25B15" w:rsidRPr="005626D7">
        <w:rPr>
          <w:b/>
          <w:bCs/>
        </w:rPr>
        <w:t>other status</w:t>
      </w:r>
      <w:r w:rsidR="00B25B15" w:rsidRPr="00A977AD">
        <w:rPr>
          <w:i/>
          <w:iCs/>
        </w:rPr>
        <w:t>.”</w:t>
      </w:r>
    </w:p>
    <w:p w14:paraId="081EC0F3" w14:textId="662BAA90" w:rsidR="00797F9E" w:rsidRPr="00A977AD" w:rsidRDefault="00A674F5" w:rsidP="005626D7">
      <w:r w:rsidRPr="00A977AD">
        <w:t xml:space="preserve">In this regard it </w:t>
      </w:r>
      <w:r w:rsidR="00E42089" w:rsidRPr="00A977AD">
        <w:t>should be noted that General Comment</w:t>
      </w:r>
      <w:r w:rsidR="002F3C44" w:rsidRPr="00A977AD">
        <w:t xml:space="preserve"> </w:t>
      </w:r>
      <w:r w:rsidR="001D597C" w:rsidRPr="00A977AD">
        <w:t>20</w:t>
      </w:r>
      <w:r w:rsidR="002442F8" w:rsidRPr="00A977AD">
        <w:rPr>
          <w:b/>
          <w:bCs/>
          <w:i/>
          <w:iCs/>
        </w:rPr>
        <w:t xml:space="preserve"> </w:t>
      </w:r>
      <w:r w:rsidR="00E42089" w:rsidRPr="00A977AD">
        <w:t xml:space="preserve">of the </w:t>
      </w:r>
      <w:r w:rsidR="007574FB" w:rsidRPr="00A977AD">
        <w:t>UN</w:t>
      </w:r>
      <w:r w:rsidR="002F43A1" w:rsidRPr="00A977AD">
        <w:t xml:space="preserve"> Committee</w:t>
      </w:r>
      <w:r w:rsidR="007574FB" w:rsidRPr="00A977AD">
        <w:t xml:space="preserve"> on Economic, Social and Cultural Rights</w:t>
      </w:r>
      <w:r w:rsidR="002F43A1" w:rsidRPr="00A977AD">
        <w:t xml:space="preserve"> </w:t>
      </w:r>
      <w:r w:rsidR="00D96C59" w:rsidRPr="00A977AD">
        <w:t>has already recognised</w:t>
      </w:r>
      <w:r w:rsidR="000B758F" w:rsidRPr="00A977AD">
        <w:t xml:space="preserve"> </w:t>
      </w:r>
      <w:r w:rsidR="0021514C" w:rsidRPr="00A977AD">
        <w:t>“</w:t>
      </w:r>
      <w:r w:rsidR="000B758F" w:rsidRPr="00A977AD">
        <w:t>health status</w:t>
      </w:r>
      <w:r w:rsidR="0021514C" w:rsidRPr="00A977AD">
        <w:t>”</w:t>
      </w:r>
      <w:r w:rsidR="002F43A1" w:rsidRPr="00A977AD">
        <w:t xml:space="preserve"> as </w:t>
      </w:r>
      <w:r w:rsidR="000B758F" w:rsidRPr="00A977AD">
        <w:t>an “other status</w:t>
      </w:r>
      <w:r w:rsidR="000B758F" w:rsidRPr="00A977AD">
        <w:rPr>
          <w:b/>
          <w:bCs/>
        </w:rPr>
        <w:t>”</w:t>
      </w:r>
      <w:r w:rsidR="0033541F">
        <w:rPr>
          <w:b/>
          <w:bCs/>
        </w:rPr>
        <w:t xml:space="preserve"> </w:t>
      </w:r>
      <w:r w:rsidR="00AF0495" w:rsidRPr="0033541F">
        <w:rPr>
          <w:rStyle w:val="EndnoteReference"/>
          <w:b/>
          <w:bCs/>
          <w:sz w:val="40"/>
          <w:szCs w:val="40"/>
        </w:rPr>
        <w:endnoteReference w:id="3"/>
      </w:r>
      <w:r w:rsidR="00B859D8">
        <w:rPr>
          <w:b/>
          <w:bCs/>
        </w:rPr>
        <w:t>.</w:t>
      </w:r>
      <w:r w:rsidR="00D96C59" w:rsidRPr="00A977AD">
        <w:rPr>
          <w:i/>
          <w:iCs/>
        </w:rPr>
        <w:t xml:space="preserve"> </w:t>
      </w:r>
      <w:r w:rsidR="00D96C59" w:rsidRPr="00A977AD">
        <w:t xml:space="preserve">Additionally, the World Health Organisation has already recognised </w:t>
      </w:r>
      <w:r w:rsidR="00F21D61" w:rsidRPr="00A977AD">
        <w:t>broad “categories of substance use disorders”</w:t>
      </w:r>
      <w:r w:rsidR="0033541F">
        <w:t xml:space="preserve"> </w:t>
      </w:r>
      <w:r w:rsidR="00B859D8" w:rsidRPr="0033541F">
        <w:rPr>
          <w:rStyle w:val="EndnoteReference"/>
          <w:b/>
          <w:bCs/>
          <w:sz w:val="40"/>
          <w:szCs w:val="40"/>
        </w:rPr>
        <w:endnoteReference w:id="4"/>
      </w:r>
      <w:r w:rsidR="003A70CF" w:rsidRPr="0033541F">
        <w:rPr>
          <w:b/>
          <w:bCs/>
        </w:rPr>
        <w:t xml:space="preserve">. </w:t>
      </w:r>
      <w:r w:rsidR="003A70CF" w:rsidRPr="00A977AD">
        <w:t xml:space="preserve"> </w:t>
      </w:r>
    </w:p>
    <w:p w14:paraId="6D96A064" w14:textId="388327BC" w:rsidR="001B45AD" w:rsidRPr="00A977AD" w:rsidRDefault="001B45AD" w:rsidP="005626D7">
      <w:r w:rsidRPr="00A977AD">
        <w:t>Accordingly, the equal protection of people affected by substance use could be provided through being included under “other status”.</w:t>
      </w:r>
    </w:p>
    <w:bookmarkEnd w:id="31"/>
    <w:p w14:paraId="695C4903" w14:textId="2049E8CB" w:rsidR="00AE1EA5" w:rsidRPr="00A977AD" w:rsidRDefault="00833839" w:rsidP="00227674">
      <w:pPr>
        <w:pStyle w:val="ListParagraph"/>
        <w:numPr>
          <w:ilvl w:val="0"/>
          <w:numId w:val="19"/>
        </w:numPr>
      </w:pPr>
      <w:r w:rsidRPr="00A977AD">
        <w:t>T</w:t>
      </w:r>
      <w:r w:rsidR="00702D20" w:rsidRPr="00A977AD">
        <w:t xml:space="preserve">he </w:t>
      </w:r>
      <w:r w:rsidR="00AE1EA5" w:rsidRPr="00A977AD">
        <w:t>Misu</w:t>
      </w:r>
      <w:r w:rsidR="00702D20" w:rsidRPr="00A977AD">
        <w:t>s</w:t>
      </w:r>
      <w:r w:rsidR="00AE1EA5" w:rsidRPr="00A977AD">
        <w:t>e of Drugs Act</w:t>
      </w:r>
      <w:r w:rsidR="00702D20" w:rsidRPr="00A977AD">
        <w:t>,1971</w:t>
      </w:r>
    </w:p>
    <w:p w14:paraId="736F20EB" w14:textId="4CFCEC17" w:rsidR="006319E0" w:rsidRPr="00A977AD" w:rsidRDefault="007F3A43" w:rsidP="00207F1E">
      <w:r w:rsidRPr="00A977AD">
        <w:t>T</w:t>
      </w:r>
      <w:r w:rsidR="00AE1EA5" w:rsidRPr="00A977AD">
        <w:t xml:space="preserve">he Scotland Act reserves to the UK Parliament </w:t>
      </w:r>
      <w:r w:rsidR="004514FC" w:rsidRPr="00A977AD">
        <w:t>certain</w:t>
      </w:r>
      <w:r w:rsidR="00AE1EA5" w:rsidRPr="00A977AD">
        <w:t xml:space="preserve"> matters, including the subject-matter of the Misuse of Drugs Act 1971 as well as laws related to drug trafficking and the proceeds of crime.</w:t>
      </w:r>
      <w:r w:rsidR="002B635D" w:rsidRPr="00A977AD">
        <w:t xml:space="preserve"> </w:t>
      </w:r>
    </w:p>
    <w:p w14:paraId="2572CB01" w14:textId="333ED707" w:rsidR="006319E0" w:rsidRPr="00A977AD" w:rsidRDefault="006319E0" w:rsidP="00207F1E">
      <w:r w:rsidRPr="00A977AD">
        <w:t>Therefore, the Scottish Parliament cannot pass laws that seek to change the provisions of the Misuse of Drugs Act. It cannot, for example, decriminalise the use or possession of drugs, as defined in the Misuse of Drugs Act, by removing these offences. The Misuse of Drugs Act contains a list of controlled drugs and classifies those substances into classes. The Scottish Parliament does not have the power to pass legislation to change the list of controlled substances, or to reclassify substances. The Scottish Government is pressing the UK Government to devolve this policy area or pass a Section 30 order under the Scotland Act, to give them and the Scottish Parliament greater flexibility in taking further steps towards approaching substance use as primarily a health matter rather than a criminal matter</w:t>
      </w:r>
      <w:r w:rsidR="009161BB">
        <w:t xml:space="preserve"> </w:t>
      </w:r>
      <w:r w:rsidR="00883053" w:rsidRPr="0033541F">
        <w:rPr>
          <w:rStyle w:val="EndnoteReference"/>
          <w:b/>
          <w:bCs/>
          <w:sz w:val="40"/>
          <w:szCs w:val="40"/>
        </w:rPr>
        <w:endnoteReference w:id="5"/>
      </w:r>
      <w:r w:rsidR="009161BB" w:rsidRPr="0033541F">
        <w:rPr>
          <w:b/>
          <w:bCs/>
        </w:rPr>
        <w:t>.</w:t>
      </w:r>
    </w:p>
    <w:p w14:paraId="3DCF24CB" w14:textId="210A7004" w:rsidR="00AE1EA5" w:rsidRPr="00A977AD" w:rsidRDefault="006319E0" w:rsidP="00207F1E">
      <w:r w:rsidRPr="00A977AD">
        <w:t xml:space="preserve">The Scotland Act </w:t>
      </w:r>
      <w:r w:rsidR="00126204" w:rsidRPr="00A977AD">
        <w:t xml:space="preserve">does not reserve policing, prosecution or sentencing in relation to </w:t>
      </w:r>
      <w:r w:rsidRPr="00A977AD">
        <w:t xml:space="preserve">drug-related </w:t>
      </w:r>
      <w:r w:rsidR="00126204" w:rsidRPr="00A977AD">
        <w:t xml:space="preserve">offences. </w:t>
      </w:r>
      <w:r w:rsidR="005B79C2" w:rsidRPr="00A977AD">
        <w:t>Nor does it reserve</w:t>
      </w:r>
      <w:r w:rsidR="00B144F7" w:rsidRPr="00A977AD">
        <w:t xml:space="preserve"> other policy areas relevant to the </w:t>
      </w:r>
      <w:r w:rsidRPr="00A977AD">
        <w:t>people affected by substance use</w:t>
      </w:r>
      <w:r w:rsidR="00B144F7" w:rsidRPr="00A977AD">
        <w:t xml:space="preserve"> including education, health</w:t>
      </w:r>
      <w:r w:rsidR="00CE2FC8" w:rsidRPr="00A977AD">
        <w:t>,</w:t>
      </w:r>
      <w:r w:rsidR="00127E99" w:rsidRPr="00A977AD">
        <w:t xml:space="preserve"> and social work.</w:t>
      </w:r>
      <w:r w:rsidR="00126204" w:rsidRPr="00A977AD">
        <w:t xml:space="preserve"> </w:t>
      </w:r>
    </w:p>
    <w:p w14:paraId="154D52C6" w14:textId="6DFABE0F" w:rsidR="00553861" w:rsidRPr="00A977AD" w:rsidRDefault="00DD5CB8" w:rsidP="00207F1E">
      <w:r w:rsidRPr="00A977AD">
        <w:lastRenderedPageBreak/>
        <w:t>Accordingly, it is</w:t>
      </w:r>
      <w:r w:rsidR="004E1E1A" w:rsidRPr="00A977AD">
        <w:t xml:space="preserve"> possible to take a </w:t>
      </w:r>
      <w:r w:rsidR="003722D5" w:rsidRPr="00A977AD">
        <w:t xml:space="preserve">public </w:t>
      </w:r>
      <w:r w:rsidR="00CE2FC8" w:rsidRPr="00A977AD">
        <w:t>he</w:t>
      </w:r>
      <w:r w:rsidR="003722D5" w:rsidRPr="00A977AD">
        <w:t xml:space="preserve">alth focussed and </w:t>
      </w:r>
      <w:r w:rsidR="004E1E1A" w:rsidRPr="00A977AD">
        <w:t xml:space="preserve">human rights-based approach </w:t>
      </w:r>
      <w:r w:rsidR="00B66947" w:rsidRPr="00A977AD">
        <w:t xml:space="preserve">to substance use </w:t>
      </w:r>
      <w:r w:rsidR="004F3F42" w:rsidRPr="00A977AD">
        <w:t>in these policy areas</w:t>
      </w:r>
      <w:r w:rsidR="00BB0390" w:rsidRPr="00A977AD">
        <w:t xml:space="preserve"> despite the limitations of the Misuse of Drugs Act.</w:t>
      </w:r>
    </w:p>
    <w:p w14:paraId="7A30F530" w14:textId="2DD7CC44" w:rsidR="00AF4B90" w:rsidRPr="00A977AD" w:rsidRDefault="00553861" w:rsidP="00207F1E">
      <w:pPr>
        <w:rPr>
          <w:b/>
          <w:bCs/>
          <w:color w:val="000000"/>
          <w:kern w:val="0"/>
          <w14:ligatures w14:val="none"/>
        </w:rPr>
      </w:pPr>
      <w:r w:rsidRPr="00A977AD">
        <w:t xml:space="preserve">An example of this is the recent statement of the Lord Advocate in relation to a </w:t>
      </w:r>
      <w:r w:rsidR="00A97576" w:rsidRPr="00A977AD">
        <w:t>pilot safe drug consumption facility</w:t>
      </w:r>
      <w:r w:rsidR="009161BB">
        <w:t xml:space="preserve"> </w:t>
      </w:r>
      <w:r w:rsidR="009161BB" w:rsidRPr="0033541F">
        <w:rPr>
          <w:rStyle w:val="EndnoteReference"/>
          <w:b/>
          <w:bCs/>
          <w:sz w:val="40"/>
          <w:szCs w:val="40"/>
        </w:rPr>
        <w:endnoteReference w:id="6"/>
      </w:r>
      <w:r w:rsidR="009161BB" w:rsidRPr="0033541F">
        <w:rPr>
          <w:b/>
          <w:bCs/>
          <w:sz w:val="40"/>
          <w:szCs w:val="40"/>
        </w:rPr>
        <w:t>.</w:t>
      </w:r>
    </w:p>
    <w:p w14:paraId="4F3B0350" w14:textId="2AD9A238" w:rsidR="008B7B56" w:rsidRPr="001B77DA" w:rsidRDefault="001B0AB0" w:rsidP="003E3277">
      <w:pPr>
        <w:pStyle w:val="Heading3"/>
        <w:spacing w:after="120"/>
      </w:pPr>
      <w:bookmarkStart w:id="32" w:name="_Toc184287891"/>
      <w:bookmarkStart w:id="33" w:name="_Toc184287988"/>
      <w:bookmarkStart w:id="34" w:name="_Toc184288719"/>
      <w:bookmarkStart w:id="35" w:name="_Toc184288764"/>
      <w:bookmarkStart w:id="36" w:name="_Toc184291313"/>
      <w:bookmarkStart w:id="37" w:name="_Toc184298359"/>
      <w:bookmarkStart w:id="38" w:name="_Toc184298456"/>
      <w:r w:rsidRPr="001B77DA">
        <w:t xml:space="preserve">(c) </w:t>
      </w:r>
      <w:r w:rsidR="00C869DA" w:rsidRPr="001B77DA">
        <w:t xml:space="preserve">The Charter </w:t>
      </w:r>
      <w:r w:rsidR="00C73961" w:rsidRPr="001B77DA">
        <w:t>Rights</w:t>
      </w:r>
      <w:bookmarkEnd w:id="32"/>
      <w:bookmarkEnd w:id="33"/>
      <w:bookmarkEnd w:id="34"/>
      <w:bookmarkEnd w:id="35"/>
      <w:bookmarkEnd w:id="36"/>
      <w:bookmarkEnd w:id="37"/>
      <w:bookmarkEnd w:id="38"/>
      <w:r w:rsidR="008B7B56" w:rsidRPr="001B77DA">
        <w:t xml:space="preserve">   </w:t>
      </w:r>
    </w:p>
    <w:p w14:paraId="61432259" w14:textId="16B8D8EC" w:rsidR="001B0AB0" w:rsidRPr="00A977AD" w:rsidRDefault="003D1B8D" w:rsidP="003E3277">
      <w:r w:rsidRPr="00A977AD">
        <w:t>Th</w:t>
      </w:r>
      <w:r w:rsidR="00F71613" w:rsidRPr="00A977AD">
        <w:t>e National Collaborative</w:t>
      </w:r>
      <w:r w:rsidRPr="00A977AD">
        <w:t xml:space="preserve"> Charter of Rights </w:t>
      </w:r>
      <w:r w:rsidR="000A227F" w:rsidRPr="00A977AD">
        <w:t xml:space="preserve">is being </w:t>
      </w:r>
      <w:r w:rsidR="006319E0" w:rsidRPr="00A977AD">
        <w:t xml:space="preserve">developed </w:t>
      </w:r>
      <w:r w:rsidR="000A227F" w:rsidRPr="00A977AD">
        <w:t xml:space="preserve">to </w:t>
      </w:r>
      <w:r w:rsidR="008D5717" w:rsidRPr="00A977AD">
        <w:t xml:space="preserve">provide guidance on how </w:t>
      </w:r>
      <w:r w:rsidR="04318B16" w:rsidRPr="00A977AD">
        <w:t>the</w:t>
      </w:r>
      <w:r w:rsidR="008D5717" w:rsidRPr="00A977AD">
        <w:t xml:space="preserve"> </w:t>
      </w:r>
      <w:r w:rsidR="592E21A7" w:rsidRPr="00A977AD">
        <w:t xml:space="preserve">national and international </w:t>
      </w:r>
      <w:r w:rsidR="008D5717" w:rsidRPr="00A977AD">
        <w:t xml:space="preserve">legal human rights framework </w:t>
      </w:r>
      <w:r w:rsidR="00ED47D4" w:rsidRPr="00A977AD">
        <w:t>can be implemented in practice</w:t>
      </w:r>
      <w:r w:rsidR="008D5717" w:rsidRPr="00A977AD">
        <w:t xml:space="preserve"> </w:t>
      </w:r>
      <w:r w:rsidR="006319E0" w:rsidRPr="00A977AD">
        <w:t>for and by people affected by</w:t>
      </w:r>
      <w:r w:rsidR="008404F3" w:rsidRPr="00A977AD">
        <w:t xml:space="preserve"> </w:t>
      </w:r>
      <w:r w:rsidR="00977469" w:rsidRPr="00A977AD">
        <w:t>substance use</w:t>
      </w:r>
      <w:r w:rsidR="00F86BB2" w:rsidRPr="00A977AD">
        <w:t xml:space="preserve">. </w:t>
      </w:r>
      <w:r w:rsidR="009E712C" w:rsidRPr="00A977AD">
        <w:t>The notes in relation to each of the rights and principles below set out the kinds of actions states would be expected to take in the context of respecting, protecting and fulfilling rights:</w:t>
      </w:r>
    </w:p>
    <w:p w14:paraId="07B4D1C7" w14:textId="303191FD" w:rsidR="00E06A93" w:rsidRPr="00A977AD" w:rsidRDefault="00715569" w:rsidP="003E3277">
      <w:r w:rsidRPr="00A977AD">
        <w:t xml:space="preserve">The </w:t>
      </w:r>
      <w:r w:rsidR="005625E9" w:rsidRPr="00A977AD">
        <w:t xml:space="preserve">key </w:t>
      </w:r>
      <w:r w:rsidR="004F57A6" w:rsidRPr="00A977AD">
        <w:t xml:space="preserve">human </w:t>
      </w:r>
      <w:r w:rsidR="005625E9" w:rsidRPr="00A977AD">
        <w:t xml:space="preserve">rights </w:t>
      </w:r>
      <w:r w:rsidR="00FD5EE9" w:rsidRPr="00A977AD">
        <w:t xml:space="preserve">included </w:t>
      </w:r>
      <w:r w:rsidR="0099135E" w:rsidRPr="00A977AD">
        <w:t xml:space="preserve">in the Charter </w:t>
      </w:r>
      <w:r w:rsidR="00220DFF" w:rsidRPr="00A977AD">
        <w:t>are</w:t>
      </w:r>
      <w:r w:rsidR="004F57A6" w:rsidRPr="00A977AD">
        <w:t xml:space="preserve"> the most relevant for </w:t>
      </w:r>
      <w:r w:rsidR="00220DFF" w:rsidRPr="00A977AD">
        <w:t>the context of substance use.</w:t>
      </w:r>
    </w:p>
    <w:p w14:paraId="26529C1D" w14:textId="769A8C34" w:rsidR="00E06A93" w:rsidRPr="003E3277" w:rsidRDefault="00F0095E" w:rsidP="003E3277">
      <w:pPr>
        <w:rPr>
          <w:b/>
          <w:bCs/>
        </w:rPr>
      </w:pPr>
      <w:r w:rsidRPr="003E3277">
        <w:rPr>
          <w:b/>
          <w:bCs/>
        </w:rPr>
        <w:t>Varied s</w:t>
      </w:r>
      <w:r w:rsidR="00E06A93" w:rsidRPr="003E3277">
        <w:rPr>
          <w:b/>
          <w:bCs/>
        </w:rPr>
        <w:t xml:space="preserve">ources </w:t>
      </w:r>
      <w:r w:rsidRPr="003E3277">
        <w:rPr>
          <w:b/>
          <w:bCs/>
        </w:rPr>
        <w:t xml:space="preserve">and strengths </w:t>
      </w:r>
      <w:r w:rsidR="00E06A93" w:rsidRPr="003E3277">
        <w:rPr>
          <w:b/>
          <w:bCs/>
        </w:rPr>
        <w:t>of the Charter rights:</w:t>
      </w:r>
    </w:p>
    <w:p w14:paraId="1F03BE96" w14:textId="66157560" w:rsidR="009C3C10" w:rsidRPr="00A977AD" w:rsidRDefault="00FE78F4" w:rsidP="003E3277">
      <w:r w:rsidRPr="00A977AD">
        <w:t xml:space="preserve">Those rights </w:t>
      </w:r>
      <w:r w:rsidR="009320DA" w:rsidRPr="00A977AD">
        <w:t xml:space="preserve">in the Charter </w:t>
      </w:r>
      <w:r w:rsidR="004B7506" w:rsidRPr="00A977AD">
        <w:t xml:space="preserve">which are </w:t>
      </w:r>
      <w:r w:rsidRPr="00A977AD">
        <w:t xml:space="preserve">drawn from the Human Rights Act 1998 </w:t>
      </w:r>
      <w:r w:rsidR="004B7506" w:rsidRPr="00A977AD">
        <w:t xml:space="preserve">– i.e. </w:t>
      </w:r>
      <w:r w:rsidR="00686FC5" w:rsidRPr="00A977AD">
        <w:t xml:space="preserve">the rights </w:t>
      </w:r>
      <w:r w:rsidR="004B7506" w:rsidRPr="00A977AD">
        <w:t>number</w:t>
      </w:r>
      <w:r w:rsidR="00686FC5" w:rsidRPr="00A977AD">
        <w:t>ed</w:t>
      </w:r>
      <w:r w:rsidR="004B7506" w:rsidRPr="00A977AD">
        <w:t xml:space="preserve"> 1,4,6 and 7 – are </w:t>
      </w:r>
      <w:r w:rsidR="00CE2564" w:rsidRPr="00A977AD">
        <w:t xml:space="preserve">already </w:t>
      </w:r>
      <w:r w:rsidR="004B7506" w:rsidRPr="00A977AD">
        <w:t>enforceable in domestic law.</w:t>
      </w:r>
    </w:p>
    <w:p w14:paraId="095CF7B8" w14:textId="4FCDFE37" w:rsidR="00BE1495" w:rsidRPr="00A977AD" w:rsidRDefault="009C3C10" w:rsidP="003E3277">
      <w:r w:rsidRPr="00A977AD">
        <w:t xml:space="preserve">Those rights </w:t>
      </w:r>
      <w:r w:rsidR="0022749C" w:rsidRPr="00A977AD">
        <w:t xml:space="preserve">in the Charter </w:t>
      </w:r>
      <w:r w:rsidRPr="00A977AD">
        <w:t xml:space="preserve">which are drawn from the International Covenant on Economic, Social and Cultural Rights </w:t>
      </w:r>
      <w:r w:rsidR="003E6833" w:rsidRPr="00A977AD">
        <w:t xml:space="preserve">– i.e. </w:t>
      </w:r>
      <w:r w:rsidR="00686FC5" w:rsidRPr="00A977AD">
        <w:t xml:space="preserve">the rights </w:t>
      </w:r>
      <w:r w:rsidR="003E6833" w:rsidRPr="00A977AD">
        <w:t>number</w:t>
      </w:r>
      <w:r w:rsidR="00686FC5" w:rsidRPr="00A977AD">
        <w:t>ed</w:t>
      </w:r>
      <w:r w:rsidR="003E6833" w:rsidRPr="00A977AD">
        <w:t xml:space="preserve"> 2 and 3 - </w:t>
      </w:r>
      <w:r w:rsidR="00265549" w:rsidRPr="00A977AD">
        <w:t xml:space="preserve">are not enforceable in domestic law but </w:t>
      </w:r>
      <w:r w:rsidR="00EC56A3" w:rsidRPr="00A977AD">
        <w:t>are international legal obligations. Accordingly, they are authoritative</w:t>
      </w:r>
      <w:r w:rsidR="003C45F5" w:rsidRPr="00A977AD">
        <w:t xml:space="preserve"> but not binding</w:t>
      </w:r>
      <w:r w:rsidR="003E6833" w:rsidRPr="00A977AD">
        <w:t>.</w:t>
      </w:r>
      <w:r w:rsidR="00913DD7" w:rsidRPr="00A977AD">
        <w:t xml:space="preserve"> The proposed Scottish Human Rights Bill would make those rights binding in domestic la</w:t>
      </w:r>
      <w:r w:rsidR="006B3B80" w:rsidRPr="00A977AD">
        <w:t>w.</w:t>
      </w:r>
    </w:p>
    <w:p w14:paraId="3ECF91A6" w14:textId="6B7BC028" w:rsidR="009A2D6A" w:rsidRPr="00A977AD" w:rsidRDefault="00057C5E" w:rsidP="003E3277">
      <w:r w:rsidRPr="00A977AD">
        <w:t xml:space="preserve">The right to a healthy environment </w:t>
      </w:r>
      <w:r w:rsidR="00B83AE1" w:rsidRPr="00A977AD">
        <w:t xml:space="preserve">– number 5 - </w:t>
      </w:r>
      <w:r w:rsidRPr="00A977AD">
        <w:t xml:space="preserve">is drawn from a </w:t>
      </w:r>
      <w:r w:rsidR="009A2D6A" w:rsidRPr="00A977AD">
        <w:t>Resolution of the UN General Assembly and so is also authoritative but not binding.</w:t>
      </w:r>
      <w:r w:rsidR="00177284" w:rsidRPr="00A977AD">
        <w:t xml:space="preserve"> The proposed Scottish Human Rights Bill would make this </w:t>
      </w:r>
      <w:r w:rsidR="00BA560E" w:rsidRPr="00A977AD">
        <w:t>right binding.</w:t>
      </w:r>
    </w:p>
    <w:p w14:paraId="3A2E7FFA" w14:textId="3CD5E505" w:rsidR="006B3B80" w:rsidRPr="003E3277" w:rsidRDefault="006B3B80" w:rsidP="003E3277">
      <w:pPr>
        <w:rPr>
          <w:b/>
          <w:bCs/>
        </w:rPr>
      </w:pPr>
      <w:r w:rsidRPr="003E3277">
        <w:rPr>
          <w:b/>
          <w:bCs/>
        </w:rPr>
        <w:t>Terminology of the Charter rights:</w:t>
      </w:r>
    </w:p>
    <w:p w14:paraId="13CD2B96" w14:textId="7B1D0136" w:rsidR="006B3B80" w:rsidRPr="00A977AD" w:rsidRDefault="006B3B80" w:rsidP="003E3277">
      <w:r w:rsidRPr="00A977AD">
        <w:t xml:space="preserve">The varied sources </w:t>
      </w:r>
      <w:r w:rsidR="00E02810" w:rsidRPr="00A977AD">
        <w:t xml:space="preserve">and strengths </w:t>
      </w:r>
      <w:r w:rsidRPr="00A977AD">
        <w:t xml:space="preserve">of the Charter rights means that different </w:t>
      </w:r>
      <w:r w:rsidR="00E02810" w:rsidRPr="00A977AD">
        <w:t xml:space="preserve">words need to be used to outline the kind of obligations </w:t>
      </w:r>
      <w:r w:rsidR="00AC4228" w:rsidRPr="00A977AD">
        <w:t>placed on duty-bearers.</w:t>
      </w:r>
    </w:p>
    <w:p w14:paraId="2B533E68" w14:textId="458AE98C" w:rsidR="00AC4228" w:rsidRPr="00A977AD" w:rsidRDefault="00915DAA" w:rsidP="003E3277">
      <w:r w:rsidRPr="00A977AD">
        <w:lastRenderedPageBreak/>
        <w:t xml:space="preserve">So, </w:t>
      </w:r>
      <w:r w:rsidR="002D3642" w:rsidRPr="00A977AD">
        <w:t xml:space="preserve">e.g. </w:t>
      </w:r>
      <w:r w:rsidRPr="00A977AD">
        <w:t xml:space="preserve">“should” is used where </w:t>
      </w:r>
      <w:r w:rsidR="007665CD" w:rsidRPr="00A977AD">
        <w:t xml:space="preserve">the right is authoritative but </w:t>
      </w:r>
      <w:r w:rsidR="00A127CB" w:rsidRPr="00A977AD">
        <w:t xml:space="preserve">is </w:t>
      </w:r>
      <w:r w:rsidR="007665CD" w:rsidRPr="00A977AD">
        <w:t>no</w:t>
      </w:r>
      <w:r w:rsidR="00A127CB" w:rsidRPr="00A977AD">
        <w:t>t</w:t>
      </w:r>
      <w:r w:rsidR="007665CD" w:rsidRPr="00A977AD">
        <w:t xml:space="preserve"> binding</w:t>
      </w:r>
      <w:r w:rsidR="00BC7115" w:rsidRPr="00A977AD">
        <w:t>. A stronger term</w:t>
      </w:r>
      <w:r w:rsidR="00F03FF8" w:rsidRPr="00A977AD">
        <w:t>, e.g. “must”</w:t>
      </w:r>
      <w:r w:rsidR="000228F0" w:rsidRPr="00A977AD">
        <w:t>,</w:t>
      </w:r>
      <w:r w:rsidR="00BC7115" w:rsidRPr="00A977AD">
        <w:t xml:space="preserve"> is used where there are legally binding standards</w:t>
      </w:r>
      <w:r w:rsidR="00151F50" w:rsidRPr="00A977AD">
        <w:t>.</w:t>
      </w:r>
    </w:p>
    <w:p w14:paraId="57463108" w14:textId="21135B04" w:rsidR="00A127CB" w:rsidRPr="00A977AD" w:rsidRDefault="00B82B23" w:rsidP="003E3277">
      <w:r w:rsidRPr="00A977AD">
        <w:t xml:space="preserve">This terminology is drawn from the UN backed International </w:t>
      </w:r>
      <w:r w:rsidR="00C9671A" w:rsidRPr="00A977AD">
        <w:t>Guidelines</w:t>
      </w:r>
      <w:r w:rsidRPr="00A977AD">
        <w:t xml:space="preserve"> on Human Rights and Drug Policy</w:t>
      </w:r>
      <w:r w:rsidR="00C9671A" w:rsidRPr="00A977AD">
        <w:t>,</w:t>
      </w:r>
      <w:r w:rsidR="004771A2" w:rsidRPr="00A977AD">
        <w:t xml:space="preserve"> see p.9</w:t>
      </w:r>
      <w:r w:rsidR="00895695" w:rsidRPr="00A977AD">
        <w:t xml:space="preserve"> of this Guidance</w:t>
      </w:r>
      <w:r w:rsidR="004771A2" w:rsidRPr="00A977AD">
        <w:t>.</w:t>
      </w:r>
    </w:p>
    <w:p w14:paraId="0435824B" w14:textId="5EC71B8C" w:rsidR="00C869DA" w:rsidRPr="00E81A65" w:rsidRDefault="00C869DA" w:rsidP="00227674">
      <w:pPr>
        <w:pStyle w:val="Heading3"/>
        <w:numPr>
          <w:ilvl w:val="0"/>
          <w:numId w:val="20"/>
        </w:numPr>
      </w:pPr>
      <w:r w:rsidRPr="00E81A65">
        <w:t>Right to life</w:t>
      </w:r>
      <w:r w:rsidR="00C7141D" w:rsidRPr="00E81A65">
        <w:t xml:space="preserve"> (Article 2, ECHR incorporated by the HRA in 1998)</w:t>
      </w:r>
    </w:p>
    <w:p w14:paraId="5D79BF65" w14:textId="4240F278" w:rsidR="00133B05" w:rsidRDefault="001657C9" w:rsidP="00E57277">
      <w:r w:rsidRPr="00A977AD">
        <w:t>Duty bearers should take positive measures to increase the life expectancy of people who use substances, including adequate steps to provide a range of scientific, evidence-based and trauma informed support services on substance use prevention, overdose prevention and response, rehabilitation, harm reduction, HIV, viral hepatitis, and other infections and injuries sometimes associated with substance use.</w:t>
      </w:r>
    </w:p>
    <w:p w14:paraId="650200AD" w14:textId="77777777" w:rsidR="00E81A65" w:rsidRPr="00E81A65" w:rsidRDefault="00E81A65" w:rsidP="00E81A65">
      <w:pPr>
        <w:pStyle w:val="ListParagraph"/>
        <w:rPr>
          <w:rFonts w:cs="Arial"/>
          <w:sz w:val="24"/>
          <w:szCs w:val="24"/>
        </w:rPr>
      </w:pPr>
    </w:p>
    <w:p w14:paraId="2FC3CF64" w14:textId="48194498" w:rsidR="00133B05" w:rsidRPr="00E81A65" w:rsidRDefault="00C869DA" w:rsidP="00227674">
      <w:pPr>
        <w:pStyle w:val="Heading3"/>
        <w:numPr>
          <w:ilvl w:val="0"/>
          <w:numId w:val="20"/>
        </w:numPr>
      </w:pPr>
      <w:r w:rsidRPr="00E81A65">
        <w:t>Right to the highest attainable standard of physical and mental health</w:t>
      </w:r>
      <w:r w:rsidR="00133B05" w:rsidRPr="00E81A65">
        <w:t xml:space="preserve"> (Article 12, ICESCR to be incorporated by the </w:t>
      </w:r>
      <w:r w:rsidR="003629B0" w:rsidRPr="00E81A65">
        <w:t xml:space="preserve">proposed Scottish </w:t>
      </w:r>
      <w:r w:rsidR="00133B05" w:rsidRPr="00E81A65">
        <w:t>Human Rights Bill)</w:t>
      </w:r>
    </w:p>
    <w:p w14:paraId="439C6A7D" w14:textId="3190DB99" w:rsidR="001657C9" w:rsidRPr="00A977AD" w:rsidRDefault="001657C9" w:rsidP="00E57277">
      <w:r w:rsidRPr="00A977AD">
        <w:t xml:space="preserve">Duty bearers </w:t>
      </w:r>
      <w:r w:rsidR="009E4D72" w:rsidRPr="00A977AD">
        <w:t>should</w:t>
      </w:r>
      <w:r w:rsidRPr="00A977AD">
        <w:t xml:space="preserve"> take deliberate, concrete, and targeted steps to ensure that substance use support services are available in sufficient quantity, geographically and financially accessible, acceptable to and known about by all people they serve and of sufficient quality including evidence base and independent oversight.</w:t>
      </w:r>
    </w:p>
    <w:p w14:paraId="7A44C115" w14:textId="77777777" w:rsidR="001657C9" w:rsidRPr="00A977AD" w:rsidRDefault="001657C9" w:rsidP="00E57277"/>
    <w:p w14:paraId="62AE23E9" w14:textId="6CE6E62F" w:rsidR="001657C9" w:rsidRPr="00A977AD" w:rsidRDefault="001657C9" w:rsidP="00E57277">
      <w:r w:rsidRPr="00A977AD">
        <w:t xml:space="preserve">Duty bearers </w:t>
      </w:r>
      <w:r w:rsidR="00740C6C" w:rsidRPr="00A977AD">
        <w:t>should</w:t>
      </w:r>
      <w:r w:rsidRPr="00A977AD">
        <w:t xml:space="preserve"> eliminate discrimination, formal and substantive, in the provision of health and social care and should not discriminate against people affected by substance use and</w:t>
      </w:r>
      <w:r w:rsidR="00E82F5A" w:rsidRPr="00A977AD">
        <w:t>,</w:t>
      </w:r>
    </w:p>
    <w:p w14:paraId="1687FC8F" w14:textId="77777777" w:rsidR="001657C9" w:rsidRPr="00A977AD" w:rsidRDefault="001657C9" w:rsidP="00E57277"/>
    <w:p w14:paraId="4DA48E11" w14:textId="44541577" w:rsidR="001657C9" w:rsidRPr="00A977AD" w:rsidRDefault="001657C9" w:rsidP="00E57277">
      <w:r w:rsidRPr="00A977AD">
        <w:t>Duty bearers should address the social and economic determinants that support or hinder positive health outcomes including stigma and discrimination of various kinds against people who use substances.</w:t>
      </w:r>
    </w:p>
    <w:p w14:paraId="6ABFF5CA" w14:textId="77777777" w:rsidR="00C869DA" w:rsidRPr="00A977AD" w:rsidRDefault="00C869DA" w:rsidP="00C869DA">
      <w:pPr>
        <w:pStyle w:val="ListParagraph"/>
        <w:rPr>
          <w:rFonts w:cs="Arial"/>
          <w:sz w:val="24"/>
          <w:szCs w:val="24"/>
        </w:rPr>
      </w:pPr>
    </w:p>
    <w:p w14:paraId="2B595E36" w14:textId="63E367B3" w:rsidR="00C869DA" w:rsidRPr="00E81A65" w:rsidRDefault="00C869DA" w:rsidP="00227674">
      <w:pPr>
        <w:pStyle w:val="Heading3"/>
        <w:numPr>
          <w:ilvl w:val="0"/>
          <w:numId w:val="20"/>
        </w:numPr>
      </w:pPr>
      <w:r w:rsidRPr="00E81A65">
        <w:t>Right to an adequate standard of living</w:t>
      </w:r>
      <w:r w:rsidR="000D270B" w:rsidRPr="00E81A65">
        <w:t xml:space="preserve"> (Article 11, ICESCR to be incorporated by the </w:t>
      </w:r>
      <w:r w:rsidR="003629B0" w:rsidRPr="00E81A65">
        <w:t xml:space="preserve">proposed Scottish </w:t>
      </w:r>
      <w:r w:rsidR="000D270B" w:rsidRPr="00E81A65">
        <w:t>Human Rights Bill)</w:t>
      </w:r>
    </w:p>
    <w:p w14:paraId="14965F91" w14:textId="77777777" w:rsidR="001657C9" w:rsidRPr="00A977AD" w:rsidRDefault="001657C9" w:rsidP="00E57277">
      <w:r w:rsidRPr="00A977AD">
        <w:t>This includes the rights to adequate food, clothing and housing and the continuous improvement of living conditions.</w:t>
      </w:r>
    </w:p>
    <w:p w14:paraId="3951DE9A" w14:textId="77777777" w:rsidR="001657C9" w:rsidRPr="00A977AD" w:rsidRDefault="001657C9" w:rsidP="00E57277"/>
    <w:p w14:paraId="67DD0B13" w14:textId="0CB8C7E9" w:rsidR="001657C9" w:rsidRPr="00A977AD" w:rsidRDefault="001657C9" w:rsidP="00E57277">
      <w:r w:rsidRPr="00A977AD">
        <w:lastRenderedPageBreak/>
        <w:t xml:space="preserve">Duty bearers </w:t>
      </w:r>
      <w:r w:rsidR="00E6087C" w:rsidRPr="00A977AD">
        <w:t>should</w:t>
      </w:r>
      <w:r w:rsidRPr="00A977AD">
        <w:t xml:space="preserve"> establish a basic minimum threshold for the enjoyment of these rights and take steps to use their maximum available resources to achieve progressively the full realisation of these rights over time.</w:t>
      </w:r>
    </w:p>
    <w:p w14:paraId="32BE7F1D" w14:textId="77777777" w:rsidR="001657C9" w:rsidRPr="00A977AD" w:rsidRDefault="001657C9" w:rsidP="00E57277"/>
    <w:p w14:paraId="25FECA18" w14:textId="71D5246C" w:rsidR="001657C9" w:rsidRPr="00A977AD" w:rsidRDefault="001657C9" w:rsidP="00E57277">
      <w:r w:rsidRPr="00A977AD">
        <w:t>Duty bearers should expand comprehensive social security systems that equally guarantee legal entitlements – including universal access to health care, housing, education, and basic income security</w:t>
      </w:r>
      <w:r w:rsidR="005C48E3" w:rsidRPr="00A977AD">
        <w:t xml:space="preserve"> </w:t>
      </w:r>
      <w:r w:rsidRPr="00A977AD">
        <w:t>- prioritising particularly marginalised groups.</w:t>
      </w:r>
    </w:p>
    <w:p w14:paraId="3423B317" w14:textId="77777777" w:rsidR="001657C9" w:rsidRPr="00A977AD" w:rsidRDefault="001657C9" w:rsidP="00E57277"/>
    <w:p w14:paraId="3A9BCDAA" w14:textId="78DF9352" w:rsidR="001657C9" w:rsidRPr="00A977AD" w:rsidRDefault="001657C9" w:rsidP="00E57277">
      <w:r w:rsidRPr="00A977AD">
        <w:t>Duty bearers should review laws, policies, and practices on housing to ensure adequate safeguards protecting against discriminatory eviction based on actual or suspected illicit drug use and providing access to timely recourse and commensurate reparation for victims of such eviction.</w:t>
      </w:r>
    </w:p>
    <w:p w14:paraId="0562ACC3" w14:textId="77777777" w:rsidR="00963D0F" w:rsidRDefault="00963D0F" w:rsidP="00963D0F">
      <w:pPr>
        <w:pStyle w:val="ListParagraph"/>
        <w:rPr>
          <w:rFonts w:cs="Arial"/>
          <w:sz w:val="24"/>
          <w:szCs w:val="24"/>
        </w:rPr>
      </w:pPr>
    </w:p>
    <w:p w14:paraId="0640A1D2" w14:textId="77777777" w:rsidR="00CD2468" w:rsidRDefault="00CD2468" w:rsidP="00963D0F">
      <w:pPr>
        <w:pStyle w:val="ListParagraph"/>
        <w:rPr>
          <w:rFonts w:cs="Arial"/>
          <w:sz w:val="24"/>
          <w:szCs w:val="24"/>
        </w:rPr>
      </w:pPr>
    </w:p>
    <w:p w14:paraId="02539E1D" w14:textId="77777777" w:rsidR="00CD2468" w:rsidRDefault="00CD2468" w:rsidP="00963D0F">
      <w:pPr>
        <w:pStyle w:val="ListParagraph"/>
        <w:rPr>
          <w:rFonts w:cs="Arial"/>
          <w:sz w:val="24"/>
          <w:szCs w:val="24"/>
        </w:rPr>
      </w:pPr>
    </w:p>
    <w:p w14:paraId="6AF47C02" w14:textId="77777777" w:rsidR="00CD2468" w:rsidRPr="00A977AD" w:rsidRDefault="00CD2468" w:rsidP="00963D0F">
      <w:pPr>
        <w:pStyle w:val="ListParagraph"/>
        <w:rPr>
          <w:rFonts w:cs="Arial"/>
          <w:sz w:val="24"/>
          <w:szCs w:val="24"/>
        </w:rPr>
      </w:pPr>
    </w:p>
    <w:p w14:paraId="1531CD84" w14:textId="551C5B2B" w:rsidR="00C869DA" w:rsidRPr="00E81A65" w:rsidRDefault="00C869DA" w:rsidP="00227674">
      <w:pPr>
        <w:pStyle w:val="Heading3"/>
        <w:numPr>
          <w:ilvl w:val="0"/>
          <w:numId w:val="20"/>
        </w:numPr>
      </w:pPr>
      <w:r w:rsidRPr="00E81A65">
        <w:t>Right to private and family life</w:t>
      </w:r>
      <w:r w:rsidR="000D270B" w:rsidRPr="00E81A65">
        <w:t xml:space="preserve"> (Article 8, ECHR incorporated by the HRA 1998)</w:t>
      </w:r>
    </w:p>
    <w:p w14:paraId="01D6CEFF" w14:textId="77777777" w:rsidR="001657C9" w:rsidRPr="00A977AD" w:rsidRDefault="001657C9" w:rsidP="00E57277">
      <w:r w:rsidRPr="00A977AD">
        <w:t>Duty bearers must ensure all treatments, health and social care and other support are provided in a way that respects the privacy and inherent dignity of the person affected by substance use and,</w:t>
      </w:r>
    </w:p>
    <w:p w14:paraId="10502E9E" w14:textId="77777777" w:rsidR="001657C9" w:rsidRPr="00A977AD" w:rsidRDefault="001657C9" w:rsidP="00E57277"/>
    <w:p w14:paraId="28CFCD00" w14:textId="13B8267D" w:rsidR="001657C9" w:rsidRPr="00A977AD" w:rsidRDefault="001657C9" w:rsidP="00E57277">
      <w:r w:rsidRPr="00A977AD">
        <w:t>Duty bearer</w:t>
      </w:r>
      <w:r w:rsidR="003F2257" w:rsidRPr="00A977AD">
        <w:t>s</w:t>
      </w:r>
      <w:r w:rsidRPr="00A977AD">
        <w:t xml:space="preserve"> should adopt legislative, administrative, and other measures to prevent arbitrary and unlawful interference with the family life and home of people who use substances</w:t>
      </w:r>
      <w:r w:rsidR="00594F4D" w:rsidRPr="00A977AD">
        <w:t>,</w:t>
      </w:r>
    </w:p>
    <w:p w14:paraId="58105B61" w14:textId="77777777" w:rsidR="001657C9" w:rsidRPr="00A977AD" w:rsidRDefault="001657C9" w:rsidP="00E57277"/>
    <w:p w14:paraId="46F853F7" w14:textId="26BA013F" w:rsidR="001657C9" w:rsidRPr="00A977AD" w:rsidRDefault="001657C9" w:rsidP="00E57277">
      <w:r w:rsidRPr="00A977AD">
        <w:t>Duty bearers should adopt legislative and other measures to prevent the disclosure of individuals’ personal health data, including substance test results and substance dependence treatment histories, without their free and informed consent</w:t>
      </w:r>
      <w:r w:rsidR="00AD636E" w:rsidRPr="00A977AD">
        <w:t>.</w:t>
      </w:r>
    </w:p>
    <w:p w14:paraId="13656448" w14:textId="77777777" w:rsidR="001657C9" w:rsidRPr="00A977AD" w:rsidRDefault="001657C9" w:rsidP="00E57277"/>
    <w:p w14:paraId="3FBA08D7" w14:textId="597C5BCC" w:rsidR="001657C9" w:rsidRPr="00A977AD" w:rsidRDefault="001657C9" w:rsidP="00E57277">
      <w:r w:rsidRPr="00A977AD">
        <w:lastRenderedPageBreak/>
        <w:t>Duty bearers should take steps to enable families to participate in decisions made about their loved ones who are affected by substance use.</w:t>
      </w:r>
    </w:p>
    <w:p w14:paraId="7A49C744" w14:textId="77777777" w:rsidR="001657C9" w:rsidRPr="00A977AD" w:rsidRDefault="001657C9" w:rsidP="00E57277"/>
    <w:p w14:paraId="201C9067" w14:textId="271AA781" w:rsidR="001657C9" w:rsidRPr="00A977AD" w:rsidRDefault="001657C9" w:rsidP="00E57277">
      <w:r w:rsidRPr="00A977AD">
        <w:t>Duty bearers must ensure that the best interests of the child are a primary consideration in decisions regarding their care, including in the context of parental drug dependence.</w:t>
      </w:r>
    </w:p>
    <w:p w14:paraId="4498D6EE" w14:textId="77777777" w:rsidR="00E47479" w:rsidRPr="00A977AD" w:rsidRDefault="00E47479" w:rsidP="00E57277"/>
    <w:p w14:paraId="1BF65600" w14:textId="7356D2A1" w:rsidR="00E47479" w:rsidRPr="00A977AD" w:rsidRDefault="00E47479" w:rsidP="00E57277">
      <w:r w:rsidRPr="00A977AD">
        <w:t>Duty bearers s</w:t>
      </w:r>
      <w:r w:rsidR="001657C9" w:rsidRPr="00A977AD">
        <w:t>hould ensure that a parent’s substance use should not be the sole justification for removing a child from parental care or preventing reunification or contact</w:t>
      </w:r>
      <w:r w:rsidRPr="00A977AD">
        <w:t>.</w:t>
      </w:r>
    </w:p>
    <w:p w14:paraId="4E937153" w14:textId="77777777" w:rsidR="00A53C94" w:rsidRPr="00A977AD" w:rsidRDefault="00A53C94" w:rsidP="00A53C94">
      <w:pPr>
        <w:pStyle w:val="ListParagraph"/>
        <w:rPr>
          <w:rFonts w:cs="Arial"/>
          <w:sz w:val="24"/>
          <w:szCs w:val="24"/>
        </w:rPr>
      </w:pPr>
    </w:p>
    <w:p w14:paraId="6FF8DEC5" w14:textId="02799D7F" w:rsidR="00C869DA" w:rsidRPr="00E81A65" w:rsidRDefault="00C869DA" w:rsidP="00227674">
      <w:pPr>
        <w:pStyle w:val="Heading3"/>
        <w:numPr>
          <w:ilvl w:val="0"/>
          <w:numId w:val="20"/>
        </w:numPr>
      </w:pPr>
      <w:r w:rsidRPr="00E81A65">
        <w:t>Right to a healthy environment</w:t>
      </w:r>
      <w:r w:rsidR="000D270B" w:rsidRPr="00E81A65">
        <w:t xml:space="preserve"> (to be incorporated by the </w:t>
      </w:r>
      <w:r w:rsidR="003629B0" w:rsidRPr="00E81A65">
        <w:t xml:space="preserve">proposed </w:t>
      </w:r>
      <w:r w:rsidR="000D270B" w:rsidRPr="00E81A65">
        <w:t>Human Rights Bill)</w:t>
      </w:r>
    </w:p>
    <w:p w14:paraId="39872D0B" w14:textId="77777777" w:rsidR="00C869DA" w:rsidRPr="00A977AD" w:rsidRDefault="00C869DA" w:rsidP="00F35509">
      <w:pPr>
        <w:rPr>
          <w:b/>
          <w:bCs/>
        </w:rPr>
      </w:pPr>
      <w:r w:rsidRPr="00A977AD">
        <w:t>This right recognises that a healthy environment is necessary for the enjoyment of all human rights, including the right to the highest attainable standard of physical and mental health.</w:t>
      </w:r>
    </w:p>
    <w:p w14:paraId="3A951631" w14:textId="77777777" w:rsidR="00963D0F" w:rsidRPr="00A977AD" w:rsidRDefault="00963D0F" w:rsidP="00F35509"/>
    <w:p w14:paraId="11D7D40B" w14:textId="40B38D27" w:rsidR="00C869DA" w:rsidRPr="00A977AD" w:rsidRDefault="00C869DA" w:rsidP="00F35509">
      <w:r w:rsidRPr="00A977AD">
        <w:t xml:space="preserve">Duty bearers </w:t>
      </w:r>
      <w:r w:rsidR="006D0AC4" w:rsidRPr="00A977AD">
        <w:t>should</w:t>
      </w:r>
      <w:r w:rsidRPr="00A977AD">
        <w:t xml:space="preserve"> establish a basic minimum threshold for the enjoyment of this right and </w:t>
      </w:r>
      <w:r w:rsidR="006D0AC4" w:rsidRPr="00A977AD">
        <w:t xml:space="preserve">should </w:t>
      </w:r>
      <w:r w:rsidRPr="00A977AD">
        <w:t>take steps to use their maximum available resources to achieve progressively the full realisation of this right over time.</w:t>
      </w:r>
    </w:p>
    <w:p w14:paraId="1FEE63B1" w14:textId="77777777" w:rsidR="00C869DA" w:rsidRPr="00A977AD" w:rsidRDefault="00C869DA" w:rsidP="00C869DA">
      <w:pPr>
        <w:pStyle w:val="ListParagraph"/>
        <w:rPr>
          <w:rFonts w:cs="Arial"/>
          <w:b/>
          <w:bCs/>
          <w:sz w:val="24"/>
          <w:szCs w:val="24"/>
        </w:rPr>
      </w:pPr>
    </w:p>
    <w:p w14:paraId="177351E6" w14:textId="4CD9AD1D" w:rsidR="00C869DA" w:rsidRPr="00E81A65" w:rsidRDefault="00E47479" w:rsidP="00227674">
      <w:pPr>
        <w:pStyle w:val="Heading3"/>
        <w:numPr>
          <w:ilvl w:val="0"/>
          <w:numId w:val="20"/>
        </w:numPr>
      </w:pPr>
      <w:r w:rsidRPr="00E81A65">
        <w:t>Freedom</w:t>
      </w:r>
      <w:r w:rsidR="00C869DA" w:rsidRPr="00E81A65">
        <w:t xml:space="preserve"> from torture and other cruel, inhuman, or degrading treatment or punishment</w:t>
      </w:r>
      <w:r w:rsidR="00163349" w:rsidRPr="00E81A65">
        <w:t xml:space="preserve"> (Article 3, ECHR incorporated by the HRA 1998)</w:t>
      </w:r>
    </w:p>
    <w:p w14:paraId="3E199ACE" w14:textId="77777777" w:rsidR="00C869DA" w:rsidRPr="00A977AD" w:rsidRDefault="00C869DA" w:rsidP="00F35509">
      <w:r w:rsidRPr="00A977AD">
        <w:t>Duty bearers should ensure access to essential medicines, including for substance dependence, pain treatment, and palliative care and,</w:t>
      </w:r>
    </w:p>
    <w:p w14:paraId="686716C5" w14:textId="77777777" w:rsidR="00963D0F" w:rsidRPr="00A977AD" w:rsidRDefault="00963D0F" w:rsidP="00F35509"/>
    <w:p w14:paraId="775497CA" w14:textId="135D3027" w:rsidR="00C869DA" w:rsidRPr="00A977AD" w:rsidRDefault="00E47479" w:rsidP="00F35509">
      <w:r w:rsidRPr="00A977AD">
        <w:t>Duty bearers should</w:t>
      </w:r>
      <w:r w:rsidR="00C869DA" w:rsidRPr="00A977AD">
        <w:t xml:space="preserve"> ensure that access to health care for people who use or are dependent on substances and are in places of detention is equivalent to that available in the community.</w:t>
      </w:r>
    </w:p>
    <w:p w14:paraId="0350211D" w14:textId="77777777" w:rsidR="00C869DA" w:rsidRPr="00A977AD" w:rsidRDefault="00C869DA" w:rsidP="00C869DA">
      <w:pPr>
        <w:pStyle w:val="ListParagraph"/>
        <w:rPr>
          <w:rFonts w:cs="Arial"/>
          <w:b/>
          <w:bCs/>
          <w:sz w:val="24"/>
          <w:szCs w:val="24"/>
        </w:rPr>
      </w:pPr>
      <w:r w:rsidRPr="00A977AD">
        <w:rPr>
          <w:rFonts w:cs="Arial"/>
          <w:b/>
          <w:bCs/>
          <w:sz w:val="24"/>
          <w:szCs w:val="24"/>
        </w:rPr>
        <w:t xml:space="preserve"> </w:t>
      </w:r>
    </w:p>
    <w:p w14:paraId="34130B69" w14:textId="4A65B45D" w:rsidR="00C869DA" w:rsidRPr="00E81A65" w:rsidRDefault="00E47479" w:rsidP="00227674">
      <w:pPr>
        <w:pStyle w:val="Heading3"/>
        <w:numPr>
          <w:ilvl w:val="0"/>
          <w:numId w:val="20"/>
        </w:numPr>
      </w:pPr>
      <w:r w:rsidRPr="00E81A65">
        <w:lastRenderedPageBreak/>
        <w:t>Freedom from</w:t>
      </w:r>
      <w:r w:rsidR="00C869DA" w:rsidRPr="00E81A65">
        <w:t xml:space="preserve"> arbitrary arrest or detention</w:t>
      </w:r>
      <w:r w:rsidR="00163349" w:rsidRPr="00E81A65">
        <w:t xml:space="preserve"> (Article 5, ECHR incorporated by the HRA 1998)</w:t>
      </w:r>
    </w:p>
    <w:p w14:paraId="59A985A0" w14:textId="1AE11D14" w:rsidR="00C869DA" w:rsidRPr="00A977AD" w:rsidRDefault="00C869DA" w:rsidP="00F35509">
      <w:r w:rsidRPr="00A977AD">
        <w:t xml:space="preserve">Duty bearers must ensure that people are not detained solely </w:t>
      </w:r>
      <w:r w:rsidR="00296CC1" w:rsidRPr="00A977AD">
        <w:t>based on</w:t>
      </w:r>
      <w:r w:rsidRPr="00A977AD">
        <w:t xml:space="preserve"> substance use or substance dependence</w:t>
      </w:r>
      <w:r w:rsidR="002604ED" w:rsidRPr="00A977AD">
        <w:t>.</w:t>
      </w:r>
      <w:r w:rsidRPr="00A977AD">
        <w:t xml:space="preserve"> </w:t>
      </w:r>
    </w:p>
    <w:p w14:paraId="3B751D6A" w14:textId="77777777" w:rsidR="00963D0F" w:rsidRPr="00A977AD" w:rsidRDefault="00963D0F" w:rsidP="00F35509"/>
    <w:p w14:paraId="57782ABB" w14:textId="70B22524" w:rsidR="00C869DA" w:rsidRPr="00A977AD" w:rsidRDefault="00E47479" w:rsidP="00F35509">
      <w:r w:rsidRPr="00A977AD">
        <w:t>Duty bearers should</w:t>
      </w:r>
      <w:r w:rsidR="00C869DA" w:rsidRPr="00A977AD">
        <w:t xml:space="preserve"> prioritise diversion from prosecution for persons arrested for substance offences or substance-related offences of a minor nature and, </w:t>
      </w:r>
    </w:p>
    <w:p w14:paraId="02B22348" w14:textId="77777777" w:rsidR="00963D0F" w:rsidRPr="00A977AD" w:rsidRDefault="00963D0F" w:rsidP="00F35509"/>
    <w:p w14:paraId="7B689934" w14:textId="77777777" w:rsidR="00E85652" w:rsidRDefault="00E47479" w:rsidP="00F35509">
      <w:pPr>
        <w:rPr>
          <w:color w:val="000000"/>
          <w:kern w:val="0"/>
          <w14:ligatures w14:val="none"/>
        </w:rPr>
      </w:pPr>
      <w:r w:rsidRPr="00A977AD">
        <w:t>Duty bearers should</w:t>
      </w:r>
      <w:r w:rsidR="00C869DA" w:rsidRPr="00A977AD">
        <w:t xml:space="preserve"> prioritise non-custodial measures at the sentencing and post-sentencing stages for persons charged with or convicted of substance offences or substance-related offences of a minor nature.</w:t>
      </w:r>
      <w:bookmarkStart w:id="39" w:name="_Toc184287892"/>
      <w:bookmarkStart w:id="40" w:name="_Toc184287989"/>
      <w:bookmarkStart w:id="41" w:name="_Toc184288720"/>
      <w:bookmarkStart w:id="42" w:name="_Toc184288765"/>
      <w:bookmarkStart w:id="43" w:name="_Toc184291314"/>
    </w:p>
    <w:p w14:paraId="4C7D3F1D" w14:textId="77777777" w:rsidR="00E85652" w:rsidRDefault="00E85652" w:rsidP="00E85652">
      <w:pPr>
        <w:pStyle w:val="ListParagraph"/>
        <w:rPr>
          <w:rFonts w:cs="Arial"/>
          <w:color w:val="000000"/>
          <w:kern w:val="0"/>
          <w:sz w:val="24"/>
          <w:szCs w:val="24"/>
          <w14:ligatures w14:val="none"/>
        </w:rPr>
      </w:pPr>
    </w:p>
    <w:p w14:paraId="0BD0B9AC" w14:textId="4F4606BC" w:rsidR="00990AE3" w:rsidRPr="00F35509" w:rsidRDefault="00097367" w:rsidP="00F35509">
      <w:pPr>
        <w:pStyle w:val="Heading3"/>
      </w:pPr>
      <w:r w:rsidRPr="00F35509">
        <w:t xml:space="preserve">(d) </w:t>
      </w:r>
      <w:r w:rsidR="00A72704" w:rsidRPr="00F35509">
        <w:t>International Guid</w:t>
      </w:r>
      <w:r w:rsidR="009022E3" w:rsidRPr="00F35509">
        <w:t>e</w:t>
      </w:r>
      <w:r w:rsidR="009C42FF" w:rsidRPr="00F35509">
        <w:t>lines</w:t>
      </w:r>
      <w:r w:rsidR="00A72704" w:rsidRPr="00F35509">
        <w:t xml:space="preserve"> </w:t>
      </w:r>
      <w:r w:rsidR="0089348E" w:rsidRPr="00F35509">
        <w:t>on Human Rights and Drug Policy</w:t>
      </w:r>
      <w:bookmarkEnd w:id="39"/>
      <w:bookmarkEnd w:id="40"/>
      <w:bookmarkEnd w:id="41"/>
      <w:bookmarkEnd w:id="42"/>
      <w:bookmarkEnd w:id="43"/>
      <w:r w:rsidR="00CF5146" w:rsidRPr="00F35509">
        <w:t xml:space="preserve"> </w:t>
      </w:r>
    </w:p>
    <w:p w14:paraId="2168BC0C" w14:textId="1DA48811" w:rsidR="00481BB7" w:rsidRPr="00A977AD" w:rsidRDefault="0003705D" w:rsidP="00F35509">
      <w:r w:rsidRPr="00A977AD">
        <w:t xml:space="preserve">Further useful guidance on the </w:t>
      </w:r>
      <w:r w:rsidR="00D676D4" w:rsidRPr="00A977AD">
        <w:t xml:space="preserve">application of the </w:t>
      </w:r>
      <w:r w:rsidRPr="00A977AD">
        <w:t xml:space="preserve">Charter </w:t>
      </w:r>
      <w:r w:rsidR="00D676D4" w:rsidRPr="00A977AD">
        <w:t xml:space="preserve">rights </w:t>
      </w:r>
      <w:r w:rsidRPr="00A977AD">
        <w:t>and other relevant human rights is provided by</w:t>
      </w:r>
      <w:r w:rsidR="00481BB7" w:rsidRPr="00A977AD">
        <w:t xml:space="preserve"> t</w:t>
      </w:r>
      <w:r w:rsidR="00BE0145" w:rsidRPr="00A977AD">
        <w:t xml:space="preserve">he </w:t>
      </w:r>
      <w:r w:rsidR="00990AE3" w:rsidRPr="00A977AD">
        <w:t>International Guidelines on Human Rights and Drug Policy</w:t>
      </w:r>
      <w:r w:rsidR="007E30BA">
        <w:t xml:space="preserve"> </w:t>
      </w:r>
      <w:r w:rsidR="007E30BA" w:rsidRPr="0033541F">
        <w:rPr>
          <w:rStyle w:val="EndnoteReference"/>
          <w:b/>
          <w:bCs/>
          <w:sz w:val="40"/>
          <w:szCs w:val="40"/>
        </w:rPr>
        <w:endnoteReference w:id="7"/>
      </w:r>
      <w:r w:rsidR="007E30BA" w:rsidRPr="0033541F">
        <w:rPr>
          <w:b/>
          <w:bCs/>
          <w:sz w:val="40"/>
          <w:szCs w:val="40"/>
        </w:rPr>
        <w:t xml:space="preserve">. </w:t>
      </w:r>
    </w:p>
    <w:p w14:paraId="3CC1EFC1" w14:textId="446C097B" w:rsidR="00F12250" w:rsidRPr="00A977AD" w:rsidRDefault="00360033" w:rsidP="00F35509">
      <w:r w:rsidRPr="00A977AD">
        <w:t>This guidance</w:t>
      </w:r>
      <w:r w:rsidR="00FB0562" w:rsidRPr="00A977AD">
        <w:t xml:space="preserve"> was produced</w:t>
      </w:r>
      <w:r w:rsidR="00990AE3" w:rsidRPr="00A977AD">
        <w:t xml:space="preserve"> in March 2019</w:t>
      </w:r>
      <w:r w:rsidR="00FB0562" w:rsidRPr="00A977AD">
        <w:t xml:space="preserve"> and </w:t>
      </w:r>
      <w:r w:rsidR="008B5AFD" w:rsidRPr="00A977AD">
        <w:t>comprehensively</w:t>
      </w:r>
      <w:r w:rsidR="00990AE3" w:rsidRPr="00A977AD">
        <w:t xml:space="preserve"> set</w:t>
      </w:r>
      <w:r w:rsidR="007A6603" w:rsidRPr="00A977AD">
        <w:t>s</w:t>
      </w:r>
      <w:r w:rsidR="00990AE3" w:rsidRPr="00A977AD">
        <w:t xml:space="preserve"> out </w:t>
      </w:r>
      <w:r w:rsidR="00A613EA" w:rsidRPr="00A977AD">
        <w:t>the relevance of</w:t>
      </w:r>
      <w:r w:rsidR="00990AE3" w:rsidRPr="00A977AD">
        <w:t xml:space="preserve"> international human rights law</w:t>
      </w:r>
      <w:r w:rsidR="0014774E" w:rsidRPr="00A977AD">
        <w:t xml:space="preserve"> to</w:t>
      </w:r>
      <w:r w:rsidR="00990AE3" w:rsidRPr="00A977AD">
        <w:t xml:space="preserve"> drug policy. The Guidelines cover a diverse set of issues, ranging from development to criminal justice to public health</w:t>
      </w:r>
      <w:r w:rsidRPr="00A977AD">
        <w:t>.</w:t>
      </w:r>
      <w:r w:rsidR="00990AE3" w:rsidRPr="00A977AD">
        <w:t xml:space="preserve"> Although specific to drugs, aspects of the Guidelines can be applied equally to alcohol. </w:t>
      </w:r>
    </w:p>
    <w:p w14:paraId="7BBB9AD2" w14:textId="231DC836" w:rsidR="00C76A77" w:rsidRPr="00A977AD" w:rsidRDefault="00990AE3" w:rsidP="00F35509">
      <w:bookmarkStart w:id="44" w:name="_Hlk151542673"/>
      <w:r w:rsidRPr="00A977AD">
        <w:t>The</w:t>
      </w:r>
      <w:r w:rsidR="00005E08" w:rsidRPr="00A977AD">
        <w:t>y</w:t>
      </w:r>
      <w:r w:rsidRPr="00A977AD">
        <w:t xml:space="preserve"> were developed by a coalition of UN Member States, the W</w:t>
      </w:r>
      <w:r w:rsidR="008C70A1" w:rsidRPr="00A977AD">
        <w:t xml:space="preserve">orld </w:t>
      </w:r>
      <w:r w:rsidRPr="00A977AD">
        <w:t>H</w:t>
      </w:r>
      <w:r w:rsidR="008C70A1" w:rsidRPr="00A977AD">
        <w:t xml:space="preserve">ealth </w:t>
      </w:r>
      <w:r w:rsidRPr="00A977AD">
        <w:t>O</w:t>
      </w:r>
      <w:r w:rsidR="008C70A1" w:rsidRPr="00A977AD">
        <w:t>rganisation</w:t>
      </w:r>
      <w:r w:rsidRPr="00A977AD">
        <w:t>, UNAIDS, the UN</w:t>
      </w:r>
      <w:r w:rsidR="00B22BFA" w:rsidRPr="00A977AD">
        <w:t xml:space="preserve"> </w:t>
      </w:r>
      <w:r w:rsidRPr="00A977AD">
        <w:t>D</w:t>
      </w:r>
      <w:r w:rsidR="00B22BFA" w:rsidRPr="00A977AD">
        <w:t xml:space="preserve">evelopment </w:t>
      </w:r>
      <w:r w:rsidRPr="00A977AD">
        <w:t>P</w:t>
      </w:r>
      <w:r w:rsidR="00B22BFA" w:rsidRPr="00A977AD">
        <w:t>rogramme</w:t>
      </w:r>
      <w:r w:rsidRPr="00A977AD">
        <w:t xml:space="preserve"> and leading human rights and drug policy experts. They were developed through three years of research, with regional consultations in Colombia, Thailand, and South Africa.</w:t>
      </w:r>
    </w:p>
    <w:p w14:paraId="5179CB7A" w14:textId="34E5948F" w:rsidR="00A977AD" w:rsidRDefault="00005E08" w:rsidP="00F35509">
      <w:r w:rsidRPr="00A977AD">
        <w:t>The International Guid</w:t>
      </w:r>
      <w:r w:rsidR="002E32AE" w:rsidRPr="00A977AD">
        <w:t>elines</w:t>
      </w:r>
      <w:r w:rsidRPr="00A977AD">
        <w:t xml:space="preserve"> offer </w:t>
      </w:r>
      <w:r w:rsidR="007A275A" w:rsidRPr="00A977AD">
        <w:t xml:space="preserve">independent and expert </w:t>
      </w:r>
      <w:r w:rsidR="000B1E8A" w:rsidRPr="00A977AD">
        <w:t xml:space="preserve">guidance </w:t>
      </w:r>
      <w:r w:rsidR="007A275A" w:rsidRPr="00A977AD">
        <w:t xml:space="preserve">which is </w:t>
      </w:r>
      <w:r w:rsidR="00B25CCD" w:rsidRPr="00A977AD">
        <w:t xml:space="preserve">helpful for policy makers </w:t>
      </w:r>
      <w:r w:rsidR="00F56122" w:rsidRPr="00A977AD">
        <w:t>working on</w:t>
      </w:r>
      <w:r w:rsidR="00FD73E0" w:rsidRPr="00A977AD">
        <w:t xml:space="preserve"> substance use </w:t>
      </w:r>
      <w:r w:rsidR="00F56122" w:rsidRPr="00A977AD">
        <w:t xml:space="preserve">in </w:t>
      </w:r>
      <w:r w:rsidR="007A275A" w:rsidRPr="00A977AD">
        <w:t>both</w:t>
      </w:r>
      <w:r w:rsidR="0076196A" w:rsidRPr="00A977AD">
        <w:t xml:space="preserve"> reserved and devolved</w:t>
      </w:r>
      <w:r w:rsidR="00B25CCD" w:rsidRPr="00A977AD">
        <w:t xml:space="preserve"> policy areas</w:t>
      </w:r>
      <w:r w:rsidR="004A727F" w:rsidRPr="00A977AD">
        <w:t>.</w:t>
      </w:r>
      <w:r w:rsidR="00FD73E0" w:rsidRPr="00A977AD">
        <w:t xml:space="preserve"> </w:t>
      </w:r>
      <w:r w:rsidR="0076196A" w:rsidRPr="00A977AD">
        <w:t xml:space="preserve"> </w:t>
      </w:r>
      <w:bookmarkEnd w:id="44"/>
    </w:p>
    <w:p w14:paraId="170475C9" w14:textId="77777777" w:rsidR="00462114" w:rsidRDefault="00462114" w:rsidP="00A977AD">
      <w:pPr>
        <w:contextualSpacing/>
        <w:rPr>
          <w:rFonts w:cs="Arial"/>
          <w:color w:val="000000"/>
          <w:sz w:val="24"/>
          <w:szCs w:val="24"/>
        </w:rPr>
      </w:pPr>
    </w:p>
    <w:p w14:paraId="7EA96A90" w14:textId="77777777" w:rsidR="00462114" w:rsidRDefault="00462114" w:rsidP="00A977AD">
      <w:pPr>
        <w:contextualSpacing/>
        <w:rPr>
          <w:rFonts w:cs="Arial"/>
          <w:color w:val="000000"/>
          <w:sz w:val="24"/>
          <w:szCs w:val="24"/>
        </w:rPr>
      </w:pPr>
    </w:p>
    <w:p w14:paraId="26B9CA6B" w14:textId="77777777" w:rsidR="00462114" w:rsidRDefault="00462114" w:rsidP="00A977AD">
      <w:pPr>
        <w:contextualSpacing/>
        <w:rPr>
          <w:rFonts w:cs="Arial"/>
          <w:color w:val="000000"/>
          <w:sz w:val="24"/>
          <w:szCs w:val="24"/>
        </w:rPr>
      </w:pPr>
    </w:p>
    <w:p w14:paraId="5A311852" w14:textId="77777777" w:rsidR="00462114" w:rsidRDefault="00462114" w:rsidP="00A977AD">
      <w:pPr>
        <w:contextualSpacing/>
        <w:rPr>
          <w:rFonts w:cs="Arial"/>
          <w:color w:val="000000"/>
          <w:sz w:val="24"/>
          <w:szCs w:val="24"/>
        </w:rPr>
      </w:pPr>
    </w:p>
    <w:p w14:paraId="273AA2B1" w14:textId="77777777" w:rsidR="00462114" w:rsidRDefault="00462114" w:rsidP="00A977AD">
      <w:pPr>
        <w:contextualSpacing/>
        <w:rPr>
          <w:rFonts w:cs="Arial"/>
          <w:color w:val="000000"/>
          <w:sz w:val="24"/>
          <w:szCs w:val="24"/>
        </w:rPr>
      </w:pPr>
    </w:p>
    <w:p w14:paraId="6E700C41" w14:textId="77777777" w:rsidR="00462114" w:rsidRDefault="00462114" w:rsidP="00A977AD">
      <w:pPr>
        <w:contextualSpacing/>
        <w:rPr>
          <w:rFonts w:cs="Arial"/>
          <w:color w:val="000000"/>
          <w:sz w:val="24"/>
          <w:szCs w:val="24"/>
        </w:rPr>
      </w:pPr>
    </w:p>
    <w:p w14:paraId="1F697BF7" w14:textId="7FC1AF49" w:rsidR="00275B11" w:rsidRPr="001C28DB" w:rsidRDefault="00392BD4" w:rsidP="00F35509">
      <w:pPr>
        <w:pStyle w:val="Heading2"/>
        <w:spacing w:after="120"/>
      </w:pPr>
      <w:bookmarkStart w:id="45" w:name="_Toc184287893"/>
      <w:bookmarkStart w:id="46" w:name="_Toc184287990"/>
      <w:bookmarkStart w:id="47" w:name="_Toc184288721"/>
      <w:bookmarkStart w:id="48" w:name="_Toc184288766"/>
      <w:bookmarkStart w:id="49" w:name="_Toc184291315"/>
      <w:bookmarkStart w:id="50" w:name="_Toc184298360"/>
      <w:bookmarkStart w:id="51" w:name="_Toc184298457"/>
      <w:r w:rsidRPr="001C28DB">
        <w:lastRenderedPageBreak/>
        <w:t xml:space="preserve">Section 2.  Key Human Rights Principles underpinning the Charter of Rights and its human rights-based </w:t>
      </w:r>
      <w:r w:rsidR="00E86FB4" w:rsidRPr="001C28DB">
        <w:t>Toolkit</w:t>
      </w:r>
      <w:bookmarkEnd w:id="45"/>
      <w:bookmarkEnd w:id="46"/>
      <w:bookmarkEnd w:id="47"/>
      <w:bookmarkEnd w:id="48"/>
      <w:bookmarkEnd w:id="49"/>
      <w:bookmarkEnd w:id="50"/>
      <w:bookmarkEnd w:id="51"/>
    </w:p>
    <w:p w14:paraId="198F16B4" w14:textId="31B0A02C" w:rsidR="00275B11" w:rsidRPr="001B77DA" w:rsidRDefault="00C90E6E" w:rsidP="00F35509">
      <w:pPr>
        <w:pStyle w:val="Heading3"/>
        <w:spacing w:after="120"/>
      </w:pPr>
      <w:bookmarkStart w:id="52" w:name="_Toc184287991"/>
      <w:bookmarkStart w:id="53" w:name="_Toc184288722"/>
      <w:bookmarkStart w:id="54" w:name="_Toc184288767"/>
      <w:bookmarkStart w:id="55" w:name="_Toc184291316"/>
      <w:bookmarkStart w:id="56" w:name="_Toc184298361"/>
      <w:bookmarkStart w:id="57" w:name="_Toc184298458"/>
      <w:r w:rsidRPr="001B77DA">
        <w:t xml:space="preserve">(a) </w:t>
      </w:r>
      <w:r w:rsidR="00275B11" w:rsidRPr="001B77DA">
        <w:t>International Human Rights Principles</w:t>
      </w:r>
      <w:bookmarkEnd w:id="52"/>
      <w:bookmarkEnd w:id="53"/>
      <w:bookmarkEnd w:id="54"/>
      <w:bookmarkEnd w:id="55"/>
      <w:bookmarkEnd w:id="56"/>
      <w:bookmarkEnd w:id="57"/>
      <w:r w:rsidR="00275B11" w:rsidRPr="001B77DA">
        <w:t xml:space="preserve"> </w:t>
      </w:r>
    </w:p>
    <w:p w14:paraId="391BC909" w14:textId="1BDCEF2B" w:rsidR="00020D4C" w:rsidRPr="00A977AD" w:rsidRDefault="00F249A6" w:rsidP="00F04B10">
      <w:r w:rsidRPr="00A977AD">
        <w:t>T</w:t>
      </w:r>
      <w:r w:rsidR="00275B11" w:rsidRPr="00A977AD">
        <w:t xml:space="preserve">he following general principles </w:t>
      </w:r>
      <w:r w:rsidR="00020D4C" w:rsidRPr="00A977AD">
        <w:t>provide important guidance in relation to all human rights and duties</w:t>
      </w:r>
      <w:r w:rsidR="00B07B9D" w:rsidRPr="00A977AD">
        <w:t>.</w:t>
      </w:r>
      <w:r w:rsidR="00AF2121" w:rsidRPr="00A977AD">
        <w:t xml:space="preserve"> They therefore </w:t>
      </w:r>
      <w:r w:rsidR="0046082D" w:rsidRPr="00A977AD">
        <w:t xml:space="preserve">apply to the Charter and its </w:t>
      </w:r>
      <w:r w:rsidR="00E86FB4" w:rsidRPr="00A977AD">
        <w:t>Toolkit</w:t>
      </w:r>
      <w:r w:rsidR="0046082D" w:rsidRPr="00A977AD">
        <w:t>.</w:t>
      </w:r>
    </w:p>
    <w:p w14:paraId="4374B452" w14:textId="650499BD" w:rsidR="00B93271" w:rsidRPr="00A977AD" w:rsidRDefault="00275B11" w:rsidP="00F04B10">
      <w:r w:rsidRPr="00A977AD">
        <w:rPr>
          <w:b/>
          <w:bCs/>
        </w:rPr>
        <w:t>Human dignity</w:t>
      </w:r>
      <w:r w:rsidRPr="00A977AD">
        <w:t xml:space="preserve">: all human rights derive from the inherent dignity, or </w:t>
      </w:r>
      <w:r w:rsidR="00441CBF" w:rsidRPr="00A977AD">
        <w:t>self-</w:t>
      </w:r>
      <w:r w:rsidRPr="00A977AD">
        <w:t>worth, of the human person. No law, policy or practice should have the effect of undermining or violating the dignity of any person or group of persons.</w:t>
      </w:r>
      <w:r w:rsidR="0072440F" w:rsidRPr="00A977AD">
        <w:t xml:space="preserve"> </w:t>
      </w:r>
    </w:p>
    <w:p w14:paraId="02E5B3FC" w14:textId="47D8B000" w:rsidR="00DE466E" w:rsidRPr="00A977AD" w:rsidRDefault="00B93271" w:rsidP="00F04B10">
      <w:r w:rsidRPr="00A977AD">
        <w:t>This principle</w:t>
      </w:r>
      <w:r w:rsidR="00275B11" w:rsidRPr="00A977AD">
        <w:t xml:space="preserve"> </w:t>
      </w:r>
      <w:r w:rsidR="00A04D93" w:rsidRPr="00A977AD">
        <w:t xml:space="preserve">lends support to the </w:t>
      </w:r>
      <w:r w:rsidR="00D053AD" w:rsidRPr="00A977AD">
        <w:t xml:space="preserve">demand of people affected by substance use to </w:t>
      </w:r>
      <w:r w:rsidR="00D053AD" w:rsidRPr="00B72198">
        <w:rPr>
          <w:b/>
          <w:bCs/>
        </w:rPr>
        <w:t>“see me”</w:t>
      </w:r>
      <w:r w:rsidR="009F262C" w:rsidRPr="00A977AD">
        <w:rPr>
          <w:i/>
          <w:iCs/>
        </w:rPr>
        <w:t xml:space="preserve"> </w:t>
      </w:r>
      <w:r w:rsidR="00322871" w:rsidRPr="00A977AD">
        <w:t>as a whole</w:t>
      </w:r>
      <w:r w:rsidR="009E3DC2" w:rsidRPr="00A977AD">
        <w:t xml:space="preserve"> person</w:t>
      </w:r>
      <w:r w:rsidR="00322871" w:rsidRPr="00A977AD">
        <w:t xml:space="preserve"> </w:t>
      </w:r>
      <w:r w:rsidR="00245920" w:rsidRPr="00A977AD">
        <w:t>– to see</w:t>
      </w:r>
      <w:r w:rsidR="009F262C" w:rsidRPr="00A977AD">
        <w:t xml:space="preserve"> my humanity, </w:t>
      </w:r>
      <w:r w:rsidR="00973994" w:rsidRPr="00A977AD">
        <w:t>my life experience</w:t>
      </w:r>
      <w:r w:rsidR="006D0B25" w:rsidRPr="00A977AD">
        <w:t>,</w:t>
      </w:r>
      <w:r w:rsidR="00245920" w:rsidRPr="00A977AD">
        <w:t xml:space="preserve"> my needs</w:t>
      </w:r>
      <w:r w:rsidR="00902D05" w:rsidRPr="00A977AD">
        <w:t>,</w:t>
      </w:r>
      <w:r w:rsidR="006D0B25" w:rsidRPr="00A977AD">
        <w:t xml:space="preserve"> and my rights</w:t>
      </w:r>
      <w:r w:rsidR="008E7C2E" w:rsidRPr="00A977AD">
        <w:t xml:space="preserve"> and not to stigmatise me</w:t>
      </w:r>
      <w:r w:rsidR="00245920" w:rsidRPr="00A977AD">
        <w:t>.</w:t>
      </w:r>
      <w:r w:rsidR="00D053AD" w:rsidRPr="00A977AD">
        <w:t xml:space="preserve"> </w:t>
      </w:r>
    </w:p>
    <w:p w14:paraId="60123A6F" w14:textId="63A2CD56" w:rsidR="00DE466E" w:rsidRPr="00A977AD" w:rsidRDefault="00275B11" w:rsidP="00F04B10">
      <w:r w:rsidRPr="00A977AD">
        <w:rPr>
          <w:b/>
          <w:bCs/>
        </w:rPr>
        <w:t>Universality</w:t>
      </w:r>
      <w:r w:rsidRPr="00A977AD">
        <w:t>: everyone is equally entitled to all human rights.</w:t>
      </w:r>
      <w:r w:rsidR="003C2C09" w:rsidRPr="00A977AD">
        <w:t xml:space="preserve"> </w:t>
      </w:r>
      <w:r w:rsidR="00A223B9" w:rsidRPr="00A977AD">
        <w:t>This principle</w:t>
      </w:r>
      <w:r w:rsidR="00C80296" w:rsidRPr="00A977AD">
        <w:t xml:space="preserve"> </w:t>
      </w:r>
      <w:r w:rsidR="00EF301E" w:rsidRPr="00A977AD">
        <w:t xml:space="preserve">stands against the idea that </w:t>
      </w:r>
      <w:r w:rsidR="004305DE" w:rsidRPr="00A977AD">
        <w:t xml:space="preserve">people affected by substance use are less </w:t>
      </w:r>
      <w:r w:rsidR="003F6182" w:rsidRPr="00A977AD">
        <w:t>“</w:t>
      </w:r>
      <w:r w:rsidR="004305DE" w:rsidRPr="00A977AD">
        <w:t>deserving” than other people</w:t>
      </w:r>
      <w:r w:rsidR="007445C0" w:rsidRPr="00A977AD">
        <w:t xml:space="preserve"> and so</w:t>
      </w:r>
      <w:r w:rsidR="00052CDF" w:rsidRPr="00A977AD">
        <w:t>, for example,</w:t>
      </w:r>
      <w:r w:rsidR="007445C0" w:rsidRPr="00A977AD">
        <w:t xml:space="preserve"> should not enjoy the same right to the highest attainable standard of physical and mental health</w:t>
      </w:r>
      <w:r w:rsidR="004305DE" w:rsidRPr="00A977AD">
        <w:t>.</w:t>
      </w:r>
      <w:r w:rsidRPr="00A977AD">
        <w:t xml:space="preserve"> </w:t>
      </w:r>
    </w:p>
    <w:p w14:paraId="1D409D1A" w14:textId="7A156AFA" w:rsidR="00883F9B" w:rsidRPr="00A977AD" w:rsidRDefault="00275B11" w:rsidP="00F04B10">
      <w:r w:rsidRPr="00A977AD">
        <w:rPr>
          <w:b/>
          <w:bCs/>
        </w:rPr>
        <w:t>Interdependence</w:t>
      </w:r>
      <w:r w:rsidRPr="00A977AD">
        <w:t>: all human rights are indivisible and interdependent, as fulfilment of any human right will depend on fulfilment of other human rights. No right can be fully enjoyed if other rights are being breached or neglected.</w:t>
      </w:r>
    </w:p>
    <w:p w14:paraId="36030D17" w14:textId="369069AC" w:rsidR="00DE466E" w:rsidRPr="00A977AD" w:rsidRDefault="00A700C1" w:rsidP="00F04B10">
      <w:r w:rsidRPr="00A977AD">
        <w:t xml:space="preserve">This principle </w:t>
      </w:r>
      <w:r w:rsidR="00D06D03" w:rsidRPr="00A977AD">
        <w:t xml:space="preserve">supports </w:t>
      </w:r>
      <w:r w:rsidR="001A7669" w:rsidRPr="00A977AD">
        <w:t xml:space="preserve">taking </w:t>
      </w:r>
      <w:r w:rsidR="00114A00" w:rsidRPr="00A977AD">
        <w:t>preventi</w:t>
      </w:r>
      <w:r w:rsidR="001A7669" w:rsidRPr="00A977AD">
        <w:t xml:space="preserve">ve </w:t>
      </w:r>
      <w:r w:rsidR="00D85F42" w:rsidRPr="00A977AD">
        <w:t>actions</w:t>
      </w:r>
      <w:r w:rsidR="00EF33D2" w:rsidRPr="00A977AD">
        <w:t xml:space="preserve"> and points to the need to recognise</w:t>
      </w:r>
      <w:r w:rsidR="00120C28" w:rsidRPr="00A977AD">
        <w:t xml:space="preserve"> </w:t>
      </w:r>
      <w:r w:rsidR="006A6BBC" w:rsidRPr="00A977AD">
        <w:t xml:space="preserve">inequalities and </w:t>
      </w:r>
      <w:r w:rsidR="00D06D03" w:rsidRPr="00A977AD">
        <w:t xml:space="preserve">that the </w:t>
      </w:r>
      <w:r w:rsidR="00114A00" w:rsidRPr="00A977AD">
        <w:t xml:space="preserve">social determinants of </w:t>
      </w:r>
      <w:r w:rsidR="0036238D" w:rsidRPr="00A977AD">
        <w:t>health such as an adequate standard of living are</w:t>
      </w:r>
      <w:r w:rsidR="00120C28" w:rsidRPr="00A977AD">
        <w:t xml:space="preserve"> as </w:t>
      </w:r>
      <w:r w:rsidR="0036238D" w:rsidRPr="00A977AD">
        <w:t>important as health</w:t>
      </w:r>
      <w:r w:rsidR="00AE435E" w:rsidRPr="00A977AD">
        <w:t>care services</w:t>
      </w:r>
      <w:r w:rsidR="000C3A4B" w:rsidRPr="00A977AD">
        <w:t xml:space="preserve"> for people affected by substance use</w:t>
      </w:r>
      <w:r w:rsidR="00AE435E" w:rsidRPr="00A977AD">
        <w:t>.</w:t>
      </w:r>
      <w:r w:rsidRPr="00A977AD">
        <w:t xml:space="preserve">  </w:t>
      </w:r>
      <w:r w:rsidR="00275B11" w:rsidRPr="00A977AD">
        <w:t xml:space="preserve"> </w:t>
      </w:r>
    </w:p>
    <w:p w14:paraId="29F8837C" w14:textId="5411E4D3" w:rsidR="00275B11" w:rsidRPr="00A977AD" w:rsidRDefault="00275B11" w:rsidP="00F04B10">
      <w:r w:rsidRPr="00A977AD">
        <w:rPr>
          <w:b/>
          <w:bCs/>
        </w:rPr>
        <w:t xml:space="preserve">Non-discrimination: </w:t>
      </w:r>
      <w:r w:rsidR="00F85EFF" w:rsidRPr="00A977AD">
        <w:t xml:space="preserve">all people </w:t>
      </w:r>
      <w:r w:rsidR="00AA427A" w:rsidRPr="00A977AD">
        <w:t xml:space="preserve">have the right to equality and freedom from discrimination. </w:t>
      </w:r>
      <w:r w:rsidR="00581A48" w:rsidRPr="00A977AD">
        <w:t>This means that all are equal before the law and are entitled to equal protection and benefit from the law</w:t>
      </w:r>
      <w:r w:rsidR="00A251D5" w:rsidRPr="00A977AD">
        <w:t xml:space="preserve">, including the enjoyment of all human rights without discrimination </w:t>
      </w:r>
      <w:r w:rsidR="003D10DF" w:rsidRPr="00A977AD">
        <w:t>on a range of grounds (such as health status</w:t>
      </w:r>
      <w:r w:rsidR="009408BC" w:rsidRPr="00A977AD">
        <w:t>,</w:t>
      </w:r>
      <w:r w:rsidR="003D10DF" w:rsidRPr="00A977AD">
        <w:t xml:space="preserve"> which includes </w:t>
      </w:r>
      <w:r w:rsidR="002D2D7A" w:rsidRPr="00A977AD">
        <w:t>substance use</w:t>
      </w:r>
      <w:r w:rsidR="003D10DF" w:rsidRPr="00A977AD">
        <w:t>).</w:t>
      </w:r>
    </w:p>
    <w:p w14:paraId="3DD900DE" w14:textId="3080DEC0" w:rsidR="00275B11" w:rsidRPr="00A977AD" w:rsidRDefault="00275B11" w:rsidP="00F04B10">
      <w:r w:rsidRPr="00A977AD">
        <w:rPr>
          <w:b/>
          <w:bCs/>
        </w:rPr>
        <w:t>Discrimination</w:t>
      </w:r>
      <w:r w:rsidRPr="00A977AD">
        <w:t xml:space="preserve"> involves treating people less favourably on account of a protected characteristic, such as health status </w:t>
      </w:r>
      <w:r w:rsidR="00303798" w:rsidRPr="00A977AD">
        <w:t xml:space="preserve">- </w:t>
      </w:r>
      <w:r w:rsidRPr="00A977AD">
        <w:t xml:space="preserve">which includes substance </w:t>
      </w:r>
      <w:r w:rsidR="008723CC" w:rsidRPr="00A977AD">
        <w:t>use</w:t>
      </w:r>
      <w:r w:rsidRPr="00A977AD">
        <w:t>. Discriminatory practices can be made unlawful</w:t>
      </w:r>
      <w:r w:rsidR="00B10D3F" w:rsidRPr="00A977AD">
        <w:t>,</w:t>
      </w:r>
      <w:r w:rsidRPr="00A977AD">
        <w:t xml:space="preserve"> and remedies can be provided to ensure accountability where those laws are breached. </w:t>
      </w:r>
    </w:p>
    <w:p w14:paraId="364EEBF5" w14:textId="34DF96FF" w:rsidR="00DE466E" w:rsidRPr="00A977AD" w:rsidRDefault="00275B11" w:rsidP="00F04B10">
      <w:r w:rsidRPr="00A977AD">
        <w:rPr>
          <w:b/>
          <w:bCs/>
        </w:rPr>
        <w:lastRenderedPageBreak/>
        <w:t>Stigma</w:t>
      </w:r>
      <w:r w:rsidRPr="00A977AD">
        <w:t xml:space="preserve"> involves viewing someone as lesser on account of their substance use. Stigma causes discrimination. Stigma itself cannot be outlawed as it consists of beliefs in people’s minds. However, </w:t>
      </w:r>
      <w:r w:rsidR="005C2BCD" w:rsidRPr="00A977AD">
        <w:t>duty bearers and others</w:t>
      </w:r>
      <w:r w:rsidRPr="00A977AD">
        <w:t xml:space="preserve"> </w:t>
      </w:r>
      <w:r w:rsidR="005C2BCD" w:rsidRPr="00A977AD">
        <w:t>should</w:t>
      </w:r>
      <w:r w:rsidRPr="00A977AD">
        <w:t xml:space="preserve"> take steps to reduce stigma</w:t>
      </w:r>
      <w:r w:rsidR="005C2BCD" w:rsidRPr="00A977AD">
        <w:t>,</w:t>
      </w:r>
      <w:r w:rsidRPr="00A977AD">
        <w:t xml:space="preserve"> promote culture change</w:t>
      </w:r>
      <w:r w:rsidR="005C2BCD" w:rsidRPr="00A977AD">
        <w:t xml:space="preserve"> and </w:t>
      </w:r>
      <w:r w:rsidR="009D1414" w:rsidRPr="00A977AD">
        <w:t>prohibit discrimination</w:t>
      </w:r>
      <w:r w:rsidRPr="00A977AD">
        <w:t xml:space="preserve">. </w:t>
      </w:r>
    </w:p>
    <w:p w14:paraId="0C1354BB" w14:textId="10F43D74" w:rsidR="00DE466E" w:rsidRPr="00A977AD" w:rsidRDefault="00AF4D66" w:rsidP="00F04B10">
      <w:r w:rsidRPr="00A977AD">
        <w:rPr>
          <w:b/>
          <w:bCs/>
        </w:rPr>
        <w:t>Participation</w:t>
      </w:r>
      <w:r w:rsidR="00CA1229" w:rsidRPr="00A977AD">
        <w:rPr>
          <w:b/>
          <w:bCs/>
        </w:rPr>
        <w:t xml:space="preserve">: </w:t>
      </w:r>
      <w:r w:rsidR="00CA1229" w:rsidRPr="00A977AD">
        <w:t xml:space="preserve">everyone has the right to participate in public </w:t>
      </w:r>
      <w:r w:rsidR="000F7615" w:rsidRPr="00A977AD">
        <w:t>life. This</w:t>
      </w:r>
      <w:r w:rsidR="0066636B" w:rsidRPr="00A977AD">
        <w:t xml:space="preserve"> includes the right of meaningful participation in the design, implementation and assessment of drug laws, </w:t>
      </w:r>
      <w:r w:rsidR="00C73A0E" w:rsidRPr="00A977AD">
        <w:t>policies, and practices, particularly by those directly affected.</w:t>
      </w:r>
    </w:p>
    <w:p w14:paraId="390CEB44" w14:textId="223B5DFC" w:rsidR="00817950" w:rsidRPr="00A977AD" w:rsidRDefault="00275B11" w:rsidP="00F04B10">
      <w:r w:rsidRPr="00A977AD">
        <w:rPr>
          <w:b/>
          <w:bCs/>
        </w:rPr>
        <w:t xml:space="preserve">Accountability and the right to an effective remedy: </w:t>
      </w:r>
      <w:r w:rsidRPr="00A977AD">
        <w:t>Everyone has the right to an effective remedy when their human rights are not fulfilled. An effective remedy is one that is accessible, affordable, timely and effective.</w:t>
      </w:r>
    </w:p>
    <w:p w14:paraId="4E098F5A" w14:textId="5F461086" w:rsidR="00164C4F" w:rsidRPr="00A977AD" w:rsidRDefault="00817950" w:rsidP="00F04B10">
      <w:r w:rsidRPr="00A977AD">
        <w:t xml:space="preserve">This principle </w:t>
      </w:r>
      <w:r w:rsidR="00447966" w:rsidRPr="00A977AD">
        <w:t xml:space="preserve">supports the introduction by the </w:t>
      </w:r>
      <w:r w:rsidR="00E86FB4" w:rsidRPr="00A977AD">
        <w:t xml:space="preserve">proposed </w:t>
      </w:r>
      <w:r w:rsidR="00447966" w:rsidRPr="00A977AD">
        <w:t xml:space="preserve">Human Rights Bill of an enforceable right to </w:t>
      </w:r>
      <w:r w:rsidR="00562EA4" w:rsidRPr="00A977AD">
        <w:t>the highest attainable standard of physical and mental health.</w:t>
      </w:r>
      <w:r w:rsidR="00275B11" w:rsidRPr="00A977AD">
        <w:t xml:space="preserve"> </w:t>
      </w:r>
      <w:r w:rsidR="00495C60" w:rsidRPr="00A977AD">
        <w:t>T</w:t>
      </w:r>
      <w:r w:rsidR="002B1AB0" w:rsidRPr="00A977AD">
        <w:t xml:space="preserve">his </w:t>
      </w:r>
      <w:r w:rsidR="00196C78" w:rsidRPr="00A977AD">
        <w:t xml:space="preserve">overarching right </w:t>
      </w:r>
      <w:r w:rsidR="00876064" w:rsidRPr="00A977AD">
        <w:t xml:space="preserve">in turn strengthens </w:t>
      </w:r>
      <w:r w:rsidR="00196C78" w:rsidRPr="00A977AD">
        <w:t xml:space="preserve">the </w:t>
      </w:r>
      <w:r w:rsidR="00495C60" w:rsidRPr="00A977AD">
        <w:t>accountability</w:t>
      </w:r>
      <w:r w:rsidR="00196C78" w:rsidRPr="00A977AD">
        <w:t xml:space="preserve"> of existing standards such as the MAT standards.</w:t>
      </w:r>
      <w:r w:rsidR="00495C60" w:rsidRPr="00A977AD">
        <w:t xml:space="preserve"> </w:t>
      </w:r>
    </w:p>
    <w:p w14:paraId="4A0E8C07" w14:textId="35235C5E" w:rsidR="00A977AD" w:rsidRDefault="00275B11" w:rsidP="00F04B10">
      <w:pPr>
        <w:rPr>
          <w:rFonts w:eastAsia="Times New Roman"/>
          <w:kern w:val="0"/>
          <w:lang w:eastAsia="en-GB"/>
          <w14:ligatures w14:val="none"/>
        </w:rPr>
      </w:pPr>
      <w:r w:rsidRPr="00A977AD">
        <w:rPr>
          <w:b/>
          <w:bCs/>
        </w:rPr>
        <w:t>Respect, Protect and Fulfil</w:t>
      </w:r>
      <w:r w:rsidRPr="00A977AD">
        <w:t xml:space="preserve">: The general obligation on States to comply with human rights is generally seen as carrying three types of interconnected duties, summarised as the obligation to </w:t>
      </w:r>
      <w:r w:rsidR="00B85704" w:rsidRPr="00A977AD">
        <w:t>r</w:t>
      </w:r>
      <w:r w:rsidRPr="00A977AD">
        <w:t xml:space="preserve">espect, </w:t>
      </w:r>
      <w:r w:rsidR="00B85704" w:rsidRPr="00A977AD">
        <w:t>p</w:t>
      </w:r>
      <w:r w:rsidRPr="00A977AD">
        <w:t>rotect</w:t>
      </w:r>
      <w:r w:rsidR="004A4E1C" w:rsidRPr="00A977AD">
        <w:t>,</w:t>
      </w:r>
      <w:r w:rsidRPr="00A977AD">
        <w:t xml:space="preserve"> and </w:t>
      </w:r>
      <w:r w:rsidR="00B85704" w:rsidRPr="00A977AD">
        <w:t>f</w:t>
      </w:r>
      <w:r w:rsidRPr="00A977AD">
        <w:t>ulfil.</w:t>
      </w:r>
      <w:r w:rsidR="00F55586" w:rsidRPr="00A977AD" w:rsidDel="00F55586">
        <w:rPr>
          <w:rStyle w:val="FootnoteReference"/>
          <w:rFonts w:cs="Arial"/>
          <w:sz w:val="24"/>
          <w:szCs w:val="24"/>
        </w:rPr>
        <w:t xml:space="preserve"> </w:t>
      </w:r>
      <w:r w:rsidR="00273E18" w:rsidRPr="00A977AD">
        <w:rPr>
          <w:rFonts w:eastAsia="Times New Roman"/>
          <w:kern w:val="0"/>
          <w:lang w:eastAsia="en-GB"/>
          <w14:ligatures w14:val="none"/>
        </w:rPr>
        <w:t>This means that the state</w:t>
      </w:r>
      <w:r w:rsidR="00F04B10">
        <w:rPr>
          <w:rFonts w:eastAsia="Times New Roman"/>
          <w:kern w:val="0"/>
          <w:lang w:eastAsia="en-GB"/>
          <w14:ligatures w14:val="none"/>
        </w:rPr>
        <w:t>:</w:t>
      </w:r>
    </w:p>
    <w:p w14:paraId="55382D54" w14:textId="2456F984" w:rsidR="00A977AD" w:rsidRDefault="00A977AD" w:rsidP="00227674">
      <w:pPr>
        <w:pStyle w:val="ListParagraph"/>
        <w:numPr>
          <w:ilvl w:val="0"/>
          <w:numId w:val="19"/>
        </w:numPr>
        <w:ind w:left="714" w:hanging="357"/>
        <w:contextualSpacing w:val="0"/>
      </w:pPr>
      <w:r w:rsidRPr="00A977AD">
        <w:rPr>
          <w:lang w:eastAsia="en-GB"/>
        </w:rPr>
        <w:t xml:space="preserve">must </w:t>
      </w:r>
      <w:r w:rsidRPr="003215E9">
        <w:rPr>
          <w:b/>
          <w:bCs/>
          <w:lang w:eastAsia="en-GB"/>
        </w:rPr>
        <w:t>respect</w:t>
      </w:r>
      <w:r w:rsidRPr="00A977AD">
        <w:rPr>
          <w:lang w:eastAsia="en-GB"/>
        </w:rPr>
        <w:t xml:space="preserve"> and not itself breach human rights</w:t>
      </w:r>
      <w:r w:rsidRPr="00A977AD">
        <w:t xml:space="preserve"> </w:t>
      </w:r>
    </w:p>
    <w:p w14:paraId="1A5EA09B" w14:textId="5C3B4E69" w:rsidR="00A977AD" w:rsidRPr="00A977AD" w:rsidRDefault="00A977AD" w:rsidP="00227674">
      <w:pPr>
        <w:pStyle w:val="ListParagraph"/>
        <w:numPr>
          <w:ilvl w:val="0"/>
          <w:numId w:val="19"/>
        </w:numPr>
        <w:ind w:left="714" w:hanging="357"/>
        <w:contextualSpacing w:val="0"/>
      </w:pPr>
      <w:r>
        <w:t xml:space="preserve">must </w:t>
      </w:r>
      <w:r w:rsidRPr="00D811CA">
        <w:rPr>
          <w:b/>
          <w:bCs/>
          <w:lang w:eastAsia="en-GB"/>
        </w:rPr>
        <w:t xml:space="preserve">protect </w:t>
      </w:r>
      <w:r w:rsidRPr="00A977AD">
        <w:rPr>
          <w:lang w:eastAsia="en-GB"/>
        </w:rPr>
        <w:t>people from breaches by non-state actors such as the private sector and</w:t>
      </w:r>
    </w:p>
    <w:p w14:paraId="6A67C569" w14:textId="7166E68C" w:rsidR="00273E18" w:rsidRPr="00E81A65" w:rsidRDefault="00A977AD" w:rsidP="00227674">
      <w:pPr>
        <w:pStyle w:val="ListParagraph"/>
        <w:numPr>
          <w:ilvl w:val="0"/>
          <w:numId w:val="19"/>
        </w:numPr>
        <w:ind w:left="714" w:hanging="357"/>
        <w:contextualSpacing w:val="0"/>
      </w:pPr>
      <w:r>
        <w:t xml:space="preserve">must </w:t>
      </w:r>
      <w:r w:rsidRPr="00A977AD">
        <w:rPr>
          <w:lang w:eastAsia="en-GB"/>
        </w:rPr>
        <w:t>create conditions for the</w:t>
      </w:r>
      <w:r w:rsidRPr="00F04B10">
        <w:rPr>
          <w:i/>
          <w:iCs/>
          <w:lang w:eastAsia="en-GB"/>
        </w:rPr>
        <w:t xml:space="preserve"> </w:t>
      </w:r>
      <w:r w:rsidRPr="00F04B10">
        <w:rPr>
          <w:b/>
          <w:bCs/>
          <w:lang w:eastAsia="en-GB"/>
        </w:rPr>
        <w:t>fulfilment</w:t>
      </w:r>
      <w:r w:rsidRPr="00A977AD">
        <w:rPr>
          <w:lang w:eastAsia="en-GB"/>
        </w:rPr>
        <w:t xml:space="preserve"> of all human rights. </w:t>
      </w:r>
      <w:r w:rsidRPr="00A977AD">
        <w:t xml:space="preserve">For economic, social, cultural, and environmental rights, this is broken down further into the duties to fulfil the </w:t>
      </w:r>
      <w:r w:rsidRPr="00F04B10">
        <w:rPr>
          <w:b/>
          <w:bCs/>
        </w:rPr>
        <w:t>minimum essential levels</w:t>
      </w:r>
      <w:r w:rsidRPr="00A977AD">
        <w:t xml:space="preserve"> of these rights and take steps to </w:t>
      </w:r>
      <w:r w:rsidRPr="006347DB">
        <w:rPr>
          <w:b/>
          <w:bCs/>
        </w:rPr>
        <w:t>progressively</w:t>
      </w:r>
      <w:r w:rsidRPr="00F04B10">
        <w:rPr>
          <w:i/>
          <w:iCs/>
        </w:rPr>
        <w:t xml:space="preserve"> </w:t>
      </w:r>
      <w:r w:rsidRPr="00F04B10">
        <w:rPr>
          <w:b/>
          <w:bCs/>
        </w:rPr>
        <w:t xml:space="preserve">realise </w:t>
      </w:r>
      <w:r w:rsidRPr="00A977AD">
        <w:t xml:space="preserve">the full substantive content of the rights, using </w:t>
      </w:r>
      <w:r w:rsidRPr="00F04B10">
        <w:rPr>
          <w:b/>
          <w:bCs/>
        </w:rPr>
        <w:t>maximum available resources.</w:t>
      </w:r>
      <w:r w:rsidRPr="00A977AD">
        <w:t xml:space="preserve"> These important concepts are defined below</w:t>
      </w:r>
      <w:r>
        <w:t>.</w:t>
      </w:r>
    </w:p>
    <w:p w14:paraId="55F08739" w14:textId="150F0F30" w:rsidR="00273E18" w:rsidRPr="00A977AD" w:rsidRDefault="00273E18" w:rsidP="00F04B10">
      <w:pPr>
        <w:rPr>
          <w:lang w:eastAsia="en-GB"/>
        </w:rPr>
      </w:pPr>
      <w:r w:rsidRPr="00A977AD">
        <w:rPr>
          <w:lang w:eastAsia="en-GB"/>
        </w:rPr>
        <w:t xml:space="preserve">Further guidance on this framework of state duties is provided by </w:t>
      </w:r>
      <w:r w:rsidRPr="005349E5">
        <w:rPr>
          <w:lang w:eastAsia="en-GB"/>
        </w:rPr>
        <w:t xml:space="preserve">the </w:t>
      </w:r>
      <w:bookmarkStart w:id="58" w:name="_Hlk149839194"/>
      <w:r w:rsidRPr="005349E5">
        <w:rPr>
          <w:lang w:eastAsia="en-GB"/>
        </w:rPr>
        <w:t>Committee on Economic, Social and Cultural Rights in its General Comment No 12, Para 15, 1999</w:t>
      </w:r>
      <w:r w:rsidR="005349E5">
        <w:rPr>
          <w:lang w:eastAsia="en-GB"/>
        </w:rPr>
        <w:t xml:space="preserve"> </w:t>
      </w:r>
      <w:r w:rsidR="005349E5" w:rsidRPr="0033541F">
        <w:rPr>
          <w:rStyle w:val="EndnoteReference"/>
          <w:b/>
          <w:bCs/>
          <w:sz w:val="40"/>
          <w:szCs w:val="40"/>
          <w:lang w:eastAsia="en-GB"/>
        </w:rPr>
        <w:endnoteReference w:id="8"/>
      </w:r>
      <w:r w:rsidR="005349E5" w:rsidRPr="0033541F">
        <w:rPr>
          <w:b/>
          <w:bCs/>
          <w:sz w:val="40"/>
          <w:szCs w:val="40"/>
          <w:lang w:eastAsia="en-GB"/>
        </w:rPr>
        <w:t xml:space="preserve"> </w:t>
      </w:r>
      <w:r w:rsidR="00667CA8" w:rsidRPr="00A977AD">
        <w:rPr>
          <w:lang w:eastAsia="en-GB"/>
        </w:rPr>
        <w:t>.</w:t>
      </w:r>
      <w:r w:rsidR="00C113DA" w:rsidRPr="00A977AD">
        <w:rPr>
          <w:lang w:eastAsia="en-GB"/>
        </w:rPr>
        <w:t xml:space="preserve"> </w:t>
      </w:r>
      <w:bookmarkEnd w:id="58"/>
      <w:r w:rsidRPr="00A977AD">
        <w:rPr>
          <w:lang w:eastAsia="en-GB"/>
        </w:rPr>
        <w:t xml:space="preserve">This General Comment also provides guidance on the state duties of meeting “minimum core </w:t>
      </w:r>
      <w:r w:rsidRPr="00A977AD">
        <w:rPr>
          <w:lang w:eastAsia="en-GB"/>
        </w:rPr>
        <w:lastRenderedPageBreak/>
        <w:t>obligations” and “progressive realisation” of economic, social, and cultural rights.</w:t>
      </w:r>
    </w:p>
    <w:p w14:paraId="1248C6FD" w14:textId="390E6704" w:rsidR="00A977AD" w:rsidRPr="00A977AD" w:rsidRDefault="00F40B20" w:rsidP="00F04B10">
      <w:r w:rsidRPr="00A977AD">
        <w:t xml:space="preserve">This </w:t>
      </w:r>
      <w:r w:rsidR="00937DCA" w:rsidRPr="00A977AD">
        <w:t xml:space="preserve">“respect, protect and fulfil </w:t>
      </w:r>
      <w:r w:rsidRPr="00A977AD">
        <w:t>principle</w:t>
      </w:r>
      <w:r w:rsidR="00937DCA" w:rsidRPr="00A977AD">
        <w:t>”</w:t>
      </w:r>
      <w:r w:rsidR="00AF09EE" w:rsidRPr="00A977AD">
        <w:t>, particularly the duty to</w:t>
      </w:r>
      <w:r w:rsidR="00AF09EE" w:rsidRPr="00A977AD">
        <w:rPr>
          <w:i/>
          <w:iCs/>
        </w:rPr>
        <w:t xml:space="preserve"> </w:t>
      </w:r>
      <w:r w:rsidR="00AF09EE" w:rsidRPr="00F04B10">
        <w:rPr>
          <w:b/>
          <w:bCs/>
        </w:rPr>
        <w:t>fulfil</w:t>
      </w:r>
      <w:r w:rsidR="00B26836" w:rsidRPr="00F04B10">
        <w:rPr>
          <w:b/>
          <w:bCs/>
        </w:rPr>
        <w:t>,</w:t>
      </w:r>
      <w:r w:rsidRPr="00A977AD">
        <w:t xml:space="preserve"> </w:t>
      </w:r>
      <w:r w:rsidR="005565FD" w:rsidRPr="00A977AD">
        <w:t xml:space="preserve">supports </w:t>
      </w:r>
      <w:r w:rsidR="00653A97" w:rsidRPr="00A977AD">
        <w:t>the need to ensure positive health outcomes for people affected by substance use</w:t>
      </w:r>
      <w:r w:rsidR="00D93B3D" w:rsidRPr="00A977AD">
        <w:t>. These outcomes therefore need to be monitored, evaluated an</w:t>
      </w:r>
      <w:r w:rsidR="000D6329" w:rsidRPr="00A977AD">
        <w:t xml:space="preserve">d lessons learned to enable continuous improvement </w:t>
      </w:r>
      <w:r w:rsidR="00085A70" w:rsidRPr="00A977AD">
        <w:t>in</w:t>
      </w:r>
      <w:r w:rsidR="000D6329" w:rsidRPr="00A977AD">
        <w:t xml:space="preserve"> the </w:t>
      </w:r>
      <w:r w:rsidR="00085A70" w:rsidRPr="00A977AD">
        <w:t xml:space="preserve">life </w:t>
      </w:r>
      <w:r w:rsidR="000D6329" w:rsidRPr="00A977AD">
        <w:t>experience of people affected by substance use.</w:t>
      </w:r>
      <w:r w:rsidR="00085A70" w:rsidRPr="00A977AD">
        <w:t xml:space="preserve"> </w:t>
      </w:r>
      <w:r w:rsidR="00D233B0" w:rsidRPr="00A977AD">
        <w:t xml:space="preserve">This is the purpose of the Charter of Right’s </w:t>
      </w:r>
      <w:r w:rsidR="00E86FB4" w:rsidRPr="00A977AD">
        <w:t>Too</w:t>
      </w:r>
      <w:r w:rsidR="000F00D1" w:rsidRPr="00A977AD">
        <w:t>lkit</w:t>
      </w:r>
      <w:r w:rsidR="00D233B0" w:rsidRPr="00A977AD">
        <w:t xml:space="preserve"> checklist and outcomes indicators.</w:t>
      </w:r>
    </w:p>
    <w:p w14:paraId="1919DBBC" w14:textId="12846286" w:rsidR="00275B11" w:rsidRPr="001B77DA" w:rsidRDefault="00275B11" w:rsidP="00B11A11">
      <w:pPr>
        <w:pStyle w:val="Heading3"/>
        <w:spacing w:after="120"/>
      </w:pPr>
      <w:bookmarkStart w:id="59" w:name="_Toc184287894"/>
      <w:bookmarkStart w:id="60" w:name="_Toc184287992"/>
      <w:bookmarkStart w:id="61" w:name="_Toc184288723"/>
      <w:bookmarkStart w:id="62" w:name="_Toc184288768"/>
      <w:bookmarkStart w:id="63" w:name="_Toc184291317"/>
      <w:bookmarkStart w:id="64" w:name="_Toc184298362"/>
      <w:bookmarkStart w:id="65" w:name="_Toc184298459"/>
      <w:r w:rsidRPr="001B77DA">
        <w:t>(</w:t>
      </w:r>
      <w:r w:rsidR="00C706DE" w:rsidRPr="001B77DA">
        <w:t>b</w:t>
      </w:r>
      <w:r w:rsidRPr="001B77DA">
        <w:t>) Principles Applicable to Economic, Social and Cultural Rights</w:t>
      </w:r>
      <w:bookmarkEnd w:id="59"/>
      <w:bookmarkEnd w:id="60"/>
      <w:bookmarkEnd w:id="61"/>
      <w:bookmarkEnd w:id="62"/>
      <w:bookmarkEnd w:id="63"/>
      <w:bookmarkEnd w:id="64"/>
      <w:bookmarkEnd w:id="65"/>
      <w:r w:rsidRPr="001B77DA">
        <w:t xml:space="preserve"> </w:t>
      </w:r>
    </w:p>
    <w:p w14:paraId="467C79F1" w14:textId="04B94211" w:rsidR="00DE466E" w:rsidRPr="001C601F" w:rsidRDefault="0046082D" w:rsidP="00E019A7">
      <w:r w:rsidRPr="00A977AD">
        <w:t>The following</w:t>
      </w:r>
      <w:r w:rsidR="00275B11" w:rsidRPr="00A977AD">
        <w:t xml:space="preserve"> principles apply to economic, social, cultural</w:t>
      </w:r>
      <w:r w:rsidR="002B5570" w:rsidRPr="00A977AD">
        <w:t xml:space="preserve"> </w:t>
      </w:r>
      <w:r w:rsidR="00275B11" w:rsidRPr="00A977AD">
        <w:t>and environmental rights.</w:t>
      </w:r>
      <w:r w:rsidR="001552FC" w:rsidRPr="00A977AD">
        <w:t xml:space="preserve"> </w:t>
      </w:r>
      <w:r w:rsidR="00275B11" w:rsidRPr="00A977AD">
        <w:t>These include among others the right to health, the right to an adequate standard of living, the right to social security</w:t>
      </w:r>
      <w:r w:rsidR="008B5F7D" w:rsidRPr="00A977AD">
        <w:t>,</w:t>
      </w:r>
      <w:r w:rsidR="00275B11" w:rsidRPr="00A977AD">
        <w:t xml:space="preserve"> the right to take part in cultural life</w:t>
      </w:r>
      <w:r w:rsidR="008B5F7D" w:rsidRPr="00A977AD">
        <w:t xml:space="preserve"> and the right to a healthy environment</w:t>
      </w:r>
      <w:r w:rsidR="00275B11" w:rsidRPr="00A977AD">
        <w:t xml:space="preserve">. All these rights are </w:t>
      </w:r>
      <w:r w:rsidR="006E5443" w:rsidRPr="00A977AD">
        <w:t xml:space="preserve">to be introduced by the </w:t>
      </w:r>
      <w:r w:rsidR="007C5CFE" w:rsidRPr="00A977AD">
        <w:t xml:space="preserve">proposed </w:t>
      </w:r>
      <w:r w:rsidR="006E5443" w:rsidRPr="00A977AD">
        <w:t xml:space="preserve">Scottish Human Rights Bill and are </w:t>
      </w:r>
      <w:r w:rsidR="00275B11" w:rsidRPr="00A977AD">
        <w:t>at the heart of the Charter</w:t>
      </w:r>
      <w:r w:rsidR="006E5443" w:rsidRPr="00A977AD">
        <w:t xml:space="preserve"> and its </w:t>
      </w:r>
      <w:r w:rsidR="000F00D1" w:rsidRPr="00A977AD">
        <w:t>Toolkit</w:t>
      </w:r>
      <w:r w:rsidR="00275B11" w:rsidRPr="00A977AD">
        <w:t>.</w:t>
      </w:r>
    </w:p>
    <w:p w14:paraId="72EA9984" w14:textId="3A2F09A2" w:rsidR="00164C4F" w:rsidRPr="00A977AD" w:rsidRDefault="00275B11" w:rsidP="00E019A7">
      <w:pPr>
        <w:rPr>
          <w:b/>
          <w:bCs/>
        </w:rPr>
      </w:pPr>
      <w:r w:rsidRPr="00A977AD">
        <w:rPr>
          <w:b/>
          <w:bCs/>
        </w:rPr>
        <w:t xml:space="preserve">Maximum Available Resources: </w:t>
      </w:r>
      <w:r w:rsidRPr="00A977AD">
        <w:t xml:space="preserve">States must use </w:t>
      </w:r>
      <w:r w:rsidR="0015771F" w:rsidRPr="00A977AD">
        <w:t>maximum</w:t>
      </w:r>
      <w:r w:rsidRPr="00A977AD">
        <w:t xml:space="preserve"> </w:t>
      </w:r>
      <w:r w:rsidR="0015771F" w:rsidRPr="00A977AD">
        <w:t xml:space="preserve">available </w:t>
      </w:r>
      <w:r w:rsidRPr="00A977AD">
        <w:t xml:space="preserve">resources to satisfy the minimum essential levels of the rights, and to progressively realise fulfilment of the full content of those rights. This involves assessment of available means of ingathering resources, including through a fair and appropriate system of taxation, and the </w:t>
      </w:r>
      <w:r w:rsidR="005D3783" w:rsidRPr="00A977AD">
        <w:t xml:space="preserve">budgetary </w:t>
      </w:r>
      <w:r w:rsidRPr="00A977AD">
        <w:t xml:space="preserve">allocation of maximum available resources to achieving fulfilment of the rights. </w:t>
      </w:r>
    </w:p>
    <w:p w14:paraId="572124D5" w14:textId="61E15A3F" w:rsidR="00164C4F" w:rsidRPr="00A977AD" w:rsidRDefault="00275B11" w:rsidP="00E019A7">
      <w:r w:rsidRPr="00A977AD">
        <w:rPr>
          <w:b/>
          <w:bCs/>
        </w:rPr>
        <w:t xml:space="preserve">Minimum Core Obligations: </w:t>
      </w:r>
      <w:r w:rsidRPr="00A977AD">
        <w:t>Each economic, social</w:t>
      </w:r>
      <w:r w:rsidR="002B5570" w:rsidRPr="00A977AD">
        <w:t>,</w:t>
      </w:r>
      <w:r w:rsidRPr="00A977AD">
        <w:t xml:space="preserve"> and cultural right has an essential minimum level which should be </w:t>
      </w:r>
      <w:r w:rsidR="005D0BE2" w:rsidRPr="00A977AD">
        <w:t xml:space="preserve">always </w:t>
      </w:r>
      <w:r w:rsidRPr="00A977AD">
        <w:t xml:space="preserve">met. The Scottish Government has </w:t>
      </w:r>
      <w:r w:rsidR="00E97ADB" w:rsidRPr="00A977AD">
        <w:t>proposed</w:t>
      </w:r>
      <w:r w:rsidRPr="00A977AD">
        <w:t xml:space="preserve"> the development of Scottish specific minimum core levels of economic, social</w:t>
      </w:r>
      <w:r w:rsidR="0052288A" w:rsidRPr="00A977AD">
        <w:t>,</w:t>
      </w:r>
      <w:r w:rsidRPr="00A977AD">
        <w:t xml:space="preserve"> and cultural rights, through a participatory process</w:t>
      </w:r>
      <w:r w:rsidR="00AB498C" w:rsidRPr="00A977AD">
        <w:t xml:space="preserve"> as part of the implementation of the </w:t>
      </w:r>
      <w:r w:rsidR="000F00D1" w:rsidRPr="00A977AD">
        <w:t xml:space="preserve">proposed </w:t>
      </w:r>
      <w:r w:rsidR="00AB498C" w:rsidRPr="00A977AD">
        <w:t>Human Rights Bill</w:t>
      </w:r>
      <w:r w:rsidRPr="00A977AD">
        <w:t>.</w:t>
      </w:r>
      <w:r w:rsidR="000848E6" w:rsidRPr="00A977AD">
        <w:t xml:space="preserve"> </w:t>
      </w:r>
      <w:r w:rsidR="004F7295" w:rsidRPr="00A977AD">
        <w:t xml:space="preserve">These </w:t>
      </w:r>
      <w:r w:rsidR="003B62C0" w:rsidRPr="00A977AD">
        <w:t xml:space="preserve">minimum core levels </w:t>
      </w:r>
      <w:r w:rsidR="008E29EB" w:rsidRPr="00A977AD">
        <w:t>must enable everyone to lead a life in dignity.</w:t>
      </w:r>
    </w:p>
    <w:p w14:paraId="3B24D1D5" w14:textId="5CF56A3E" w:rsidR="003B7172" w:rsidRPr="00A977AD" w:rsidRDefault="00275B11" w:rsidP="00E019A7">
      <w:r w:rsidRPr="00A977AD">
        <w:rPr>
          <w:b/>
          <w:bCs/>
        </w:rPr>
        <w:t>Progressive Realisation:</w:t>
      </w:r>
      <w:r w:rsidR="00157CBD" w:rsidRPr="00A977AD">
        <w:rPr>
          <w:b/>
          <w:bCs/>
        </w:rPr>
        <w:t xml:space="preserve"> </w:t>
      </w:r>
      <w:r w:rsidRPr="00A977AD">
        <w:t xml:space="preserve">States must take immediate targeted steps and move as expeditiously and effectively as possible towards full realisation of the rights. </w:t>
      </w:r>
      <w:r w:rsidR="00BA3409" w:rsidRPr="00A977AD">
        <w:t>Th</w:t>
      </w:r>
      <w:r w:rsidR="00BE17D0" w:rsidRPr="00A977AD">
        <w:t>e</w:t>
      </w:r>
      <w:r w:rsidR="00BA3409" w:rsidRPr="00A977AD">
        <w:t xml:space="preserve"> implementation</w:t>
      </w:r>
      <w:r w:rsidR="00206BBD" w:rsidRPr="00A977AD">
        <w:t xml:space="preserve"> of this duty under Art 2, I</w:t>
      </w:r>
      <w:r w:rsidR="00D719EF" w:rsidRPr="00A977AD">
        <w:t xml:space="preserve">nternational Covenant on </w:t>
      </w:r>
      <w:r w:rsidR="00206BBD" w:rsidRPr="00A977AD">
        <w:t>E</w:t>
      </w:r>
      <w:r w:rsidR="00D719EF" w:rsidRPr="00A977AD">
        <w:t>conomic, Social and Cultural Rights</w:t>
      </w:r>
      <w:r w:rsidR="00206BBD" w:rsidRPr="00A977AD">
        <w:t xml:space="preserve"> </w:t>
      </w:r>
      <w:r w:rsidRPr="00A977AD">
        <w:t xml:space="preserve">requires </w:t>
      </w:r>
      <w:r w:rsidR="00074AD9" w:rsidRPr="00A977AD">
        <w:t>monitoring and evaluation</w:t>
      </w:r>
      <w:r w:rsidR="00206BBD" w:rsidRPr="00A977AD">
        <w:t>,</w:t>
      </w:r>
      <w:r w:rsidR="00074AD9" w:rsidRPr="00A977AD">
        <w:t xml:space="preserve"> including </w:t>
      </w:r>
      <w:r w:rsidR="00206BBD" w:rsidRPr="00A977AD">
        <w:t xml:space="preserve">the development of </w:t>
      </w:r>
      <w:r w:rsidR="00074AD9" w:rsidRPr="00A977AD">
        <w:t>outcomes indicators</w:t>
      </w:r>
      <w:r w:rsidRPr="00A977AD">
        <w:t xml:space="preserve"> and accountability.</w:t>
      </w:r>
    </w:p>
    <w:p w14:paraId="39748EBC" w14:textId="5022065F" w:rsidR="00CE26A3" w:rsidRPr="00A977AD" w:rsidRDefault="004A3B4B" w:rsidP="00E019A7">
      <w:r w:rsidRPr="00A977AD">
        <w:rPr>
          <w:rFonts w:eastAsia="Times New Roman"/>
          <w:kern w:val="0"/>
          <w:lang w:eastAsia="en-GB"/>
          <w14:ligatures w14:val="none"/>
        </w:rPr>
        <w:lastRenderedPageBreak/>
        <w:t xml:space="preserve">Further guidance on </w:t>
      </w:r>
      <w:r w:rsidR="00057190" w:rsidRPr="00A977AD">
        <w:rPr>
          <w:rFonts w:eastAsia="Times New Roman"/>
          <w:kern w:val="0"/>
          <w:lang w:eastAsia="en-GB"/>
          <w14:ligatures w14:val="none"/>
        </w:rPr>
        <w:t>these principles is provided by</w:t>
      </w:r>
      <w:r w:rsidRPr="00A977AD">
        <w:rPr>
          <w:rFonts w:eastAsia="Times New Roman"/>
          <w:kern w:val="0"/>
          <w:lang w:eastAsia="en-GB"/>
          <w14:ligatures w14:val="none"/>
        </w:rPr>
        <w:t xml:space="preserve"> </w:t>
      </w:r>
      <w:r w:rsidR="00713C1E" w:rsidRPr="0033541F">
        <w:rPr>
          <w:rStyle w:val="EndnoteReference"/>
          <w:rFonts w:eastAsia="Times New Roman"/>
          <w:b/>
          <w:bCs/>
          <w:kern w:val="0"/>
          <w:sz w:val="40"/>
          <w:szCs w:val="40"/>
          <w:lang w:eastAsia="en-GB"/>
          <w14:ligatures w14:val="none"/>
        </w:rPr>
        <w:endnoteReference w:id="9"/>
      </w:r>
      <w:r w:rsidR="002B7E06" w:rsidRPr="0033541F">
        <w:rPr>
          <w:rFonts w:eastAsia="Times New Roman"/>
          <w:b/>
          <w:bCs/>
          <w:kern w:val="0"/>
          <w:sz w:val="40"/>
          <w:szCs w:val="40"/>
          <w:lang w:eastAsia="en-GB"/>
          <w14:ligatures w14:val="none"/>
        </w:rPr>
        <w:t>.</w:t>
      </w:r>
      <w:r w:rsidR="002B7E06" w:rsidRPr="00A977AD">
        <w:rPr>
          <w:rFonts w:eastAsia="Times New Roman"/>
          <w:i/>
          <w:iCs/>
          <w:kern w:val="0"/>
          <w:lang w:eastAsia="en-GB"/>
          <w14:ligatures w14:val="none"/>
        </w:rPr>
        <w:t xml:space="preserve"> </w:t>
      </w:r>
    </w:p>
    <w:p w14:paraId="1BCE1E9E" w14:textId="77777777" w:rsidR="00E452DD" w:rsidRPr="00A977AD" w:rsidRDefault="00E452DD" w:rsidP="00E452DD">
      <w:pPr>
        <w:spacing w:after="0" w:line="240" w:lineRule="auto"/>
        <w:jc w:val="both"/>
        <w:textAlignment w:val="baseline"/>
        <w:rPr>
          <w:rFonts w:cs="Arial"/>
          <w:sz w:val="24"/>
          <w:szCs w:val="24"/>
        </w:rPr>
      </w:pPr>
    </w:p>
    <w:p w14:paraId="23249A63" w14:textId="0093E0DF" w:rsidR="00164C4F" w:rsidRPr="00A977AD" w:rsidRDefault="003B7172" w:rsidP="00E019A7">
      <w:r w:rsidRPr="00A977AD">
        <w:t>Taken tog</w:t>
      </w:r>
      <w:r w:rsidR="005264AA" w:rsidRPr="00A977AD">
        <w:t xml:space="preserve">ether, the above three principles support the prioritisation </w:t>
      </w:r>
      <w:r w:rsidR="00B54FCD" w:rsidRPr="00A977AD">
        <w:t>of saving lives and improving health outcomes</w:t>
      </w:r>
      <w:r w:rsidR="00BF2399" w:rsidRPr="00A977AD">
        <w:t xml:space="preserve"> for people affected by substance use. </w:t>
      </w:r>
      <w:r w:rsidR="00C02A15" w:rsidRPr="00A977AD">
        <w:t>Although t</w:t>
      </w:r>
      <w:r w:rsidR="00BF2399" w:rsidRPr="00A977AD">
        <w:t xml:space="preserve">he National Mission </w:t>
      </w:r>
      <w:r w:rsidR="009729AF" w:rsidRPr="00A977AD">
        <w:t>is currently doing this</w:t>
      </w:r>
      <w:r w:rsidR="004757F4" w:rsidRPr="00A977AD">
        <w:t xml:space="preserve"> in recognition of a declared “public health emergency”,</w:t>
      </w:r>
      <w:r w:rsidR="009729AF" w:rsidRPr="00A977AD">
        <w:t xml:space="preserve"> these principles support the sustainability of this</w:t>
      </w:r>
      <w:r w:rsidR="00C02A15" w:rsidRPr="00A977AD">
        <w:t xml:space="preserve"> prioritisation, i.e.</w:t>
      </w:r>
      <w:r w:rsidR="002E4635" w:rsidRPr="00A977AD">
        <w:t>,</w:t>
      </w:r>
      <w:r w:rsidR="00C02A15" w:rsidRPr="00A977AD">
        <w:t xml:space="preserve"> that</w:t>
      </w:r>
      <w:r w:rsidR="002E4635" w:rsidRPr="00A977AD">
        <w:t xml:space="preserve"> </w:t>
      </w:r>
      <w:r w:rsidR="00541647" w:rsidRPr="00A977AD">
        <w:t xml:space="preserve">effectively addressing substance use </w:t>
      </w:r>
      <w:r w:rsidR="00191105" w:rsidRPr="00A977AD">
        <w:t xml:space="preserve">remains prioritised </w:t>
      </w:r>
      <w:r w:rsidR="002537A2" w:rsidRPr="00A977AD">
        <w:t xml:space="preserve">beyond any </w:t>
      </w:r>
      <w:r w:rsidR="004757F4" w:rsidRPr="00A977AD">
        <w:t xml:space="preserve">temporary </w:t>
      </w:r>
      <w:r w:rsidR="002537A2" w:rsidRPr="00A977AD">
        <w:t xml:space="preserve">National Mission </w:t>
      </w:r>
      <w:r w:rsidR="00191105" w:rsidRPr="00A977AD">
        <w:t xml:space="preserve">and is integrated into </w:t>
      </w:r>
      <w:r w:rsidR="00A04BF0" w:rsidRPr="00A977AD">
        <w:t xml:space="preserve">the mainstream </w:t>
      </w:r>
      <w:r w:rsidR="004757F4" w:rsidRPr="00A977AD">
        <w:t xml:space="preserve">provision </w:t>
      </w:r>
      <w:r w:rsidR="00A04BF0" w:rsidRPr="00A977AD">
        <w:t>of health and social care.</w:t>
      </w:r>
      <w:r w:rsidR="00B54FCD" w:rsidRPr="00A977AD">
        <w:t xml:space="preserve"> </w:t>
      </w:r>
      <w:r w:rsidR="00275B11" w:rsidRPr="00A977AD">
        <w:t xml:space="preserve"> </w:t>
      </w:r>
    </w:p>
    <w:p w14:paraId="6011A8F2" w14:textId="4C66F351" w:rsidR="00D774B4" w:rsidRPr="00A977AD" w:rsidRDefault="00275B11" w:rsidP="00E019A7">
      <w:r w:rsidRPr="00A977AD">
        <w:rPr>
          <w:b/>
          <w:bCs/>
        </w:rPr>
        <w:t>Non-regression</w:t>
      </w:r>
      <w:r w:rsidR="00E1391D" w:rsidRPr="00A977AD">
        <w:rPr>
          <w:b/>
          <w:bCs/>
        </w:rPr>
        <w:t xml:space="preserve"> (also known as no</w:t>
      </w:r>
      <w:r w:rsidR="007B20D7" w:rsidRPr="00A977AD">
        <w:rPr>
          <w:b/>
          <w:bCs/>
        </w:rPr>
        <w:t>n</w:t>
      </w:r>
      <w:r w:rsidR="00E1391D" w:rsidRPr="00A977AD">
        <w:rPr>
          <w:b/>
          <w:bCs/>
        </w:rPr>
        <w:t>-retrog</w:t>
      </w:r>
      <w:r w:rsidR="0036152E" w:rsidRPr="00A977AD">
        <w:rPr>
          <w:b/>
          <w:bCs/>
        </w:rPr>
        <w:t>ression)</w:t>
      </w:r>
      <w:r w:rsidRPr="00A977AD">
        <w:rPr>
          <w:b/>
          <w:bCs/>
        </w:rPr>
        <w:t xml:space="preserve">: </w:t>
      </w:r>
      <w:r w:rsidR="007B20D7" w:rsidRPr="00A977AD">
        <w:t>th</w:t>
      </w:r>
      <w:r w:rsidR="00FF25D6" w:rsidRPr="00A977AD">
        <w:t>is</w:t>
      </w:r>
      <w:r w:rsidR="007B20D7" w:rsidRPr="00A977AD">
        <w:t xml:space="preserve"> is a </w:t>
      </w:r>
      <w:r w:rsidR="00364A5C" w:rsidRPr="00A977AD">
        <w:t xml:space="preserve">principle of a </w:t>
      </w:r>
      <w:r w:rsidR="007B20D7" w:rsidRPr="00A977AD">
        <w:t>presumption</w:t>
      </w:r>
      <w:r w:rsidR="00FF25D6" w:rsidRPr="00A977AD">
        <w:t xml:space="preserve"> against regression (backward steps) </w:t>
      </w:r>
      <w:r w:rsidR="004E508B" w:rsidRPr="00A977AD">
        <w:t>in the realisation of economic, social</w:t>
      </w:r>
      <w:r w:rsidR="003E59D5" w:rsidRPr="00A977AD">
        <w:t>,</w:t>
      </w:r>
      <w:r w:rsidR="004E508B" w:rsidRPr="00A977AD">
        <w:t xml:space="preserve"> and cultural rights</w:t>
      </w:r>
      <w:r w:rsidR="00D774B4" w:rsidRPr="00A977AD">
        <w:t xml:space="preserve"> and it is also applicable to civil and political rights. </w:t>
      </w:r>
    </w:p>
    <w:p w14:paraId="3A1D8776" w14:textId="0AAA64D2" w:rsidR="001D4D86" w:rsidRPr="00A977AD" w:rsidRDefault="00D774B4" w:rsidP="00E019A7">
      <w:r w:rsidRPr="00A977AD">
        <w:t>Alth</w:t>
      </w:r>
      <w:r w:rsidR="001D4D86" w:rsidRPr="00A977AD">
        <w:t>o</w:t>
      </w:r>
      <w:r w:rsidRPr="00A977AD">
        <w:t xml:space="preserve">ugh it is recognised that </w:t>
      </w:r>
      <w:r w:rsidR="004D70DE" w:rsidRPr="00A977AD">
        <w:t xml:space="preserve">regression may in certain circumstances, </w:t>
      </w:r>
      <w:r w:rsidR="007B2D22" w:rsidRPr="00A977AD">
        <w:t>for example</w:t>
      </w:r>
      <w:r w:rsidR="00AE3661" w:rsidRPr="00A977AD">
        <w:t>,</w:t>
      </w:r>
      <w:r w:rsidR="004D70DE" w:rsidRPr="00A977AD">
        <w:t xml:space="preserve"> an economic recession</w:t>
      </w:r>
      <w:r w:rsidR="00AE3661" w:rsidRPr="00A977AD">
        <w:t>, be unavoidable it must nevertheless be justified</w:t>
      </w:r>
      <w:r w:rsidR="00362834" w:rsidRPr="00A977AD">
        <w:t>. In such circumstances the regression must be temporary</w:t>
      </w:r>
      <w:r w:rsidR="00CF6DF3" w:rsidRPr="00A977AD">
        <w:t>. Measures taken</w:t>
      </w:r>
      <w:r w:rsidR="003D5EB9">
        <w:t>,</w:t>
      </w:r>
      <w:r w:rsidR="00CF6DF3" w:rsidRPr="00A977AD">
        <w:t xml:space="preserve"> such as budget cuts</w:t>
      </w:r>
      <w:r w:rsidR="003D5EB9">
        <w:t>,</w:t>
      </w:r>
      <w:r w:rsidR="00CF6DF3" w:rsidRPr="00A977AD">
        <w:t xml:space="preserve"> must not be discriminatory and disproportionately </w:t>
      </w:r>
      <w:r w:rsidR="008528D5" w:rsidRPr="00A977AD">
        <w:t>impact on a vulnerable part of the community.</w:t>
      </w:r>
      <w:r w:rsidR="00FC7B3F" w:rsidRPr="00A977AD">
        <w:t xml:space="preserve"> </w:t>
      </w:r>
      <w:r w:rsidR="006568AD" w:rsidRPr="00A977AD">
        <w:t xml:space="preserve">The most disadvantaged </w:t>
      </w:r>
      <w:r w:rsidR="00673CC0" w:rsidRPr="00A977AD">
        <w:t xml:space="preserve">in society </w:t>
      </w:r>
      <w:r w:rsidR="006568AD" w:rsidRPr="00A977AD">
        <w:t xml:space="preserve">should be prioritised. The government should ensure that minimum </w:t>
      </w:r>
      <w:r w:rsidR="00FC7B3F" w:rsidRPr="00A977AD">
        <w:t>essential levels continue to be met.</w:t>
      </w:r>
    </w:p>
    <w:p w14:paraId="02F693CE" w14:textId="07AE4792" w:rsidR="007B0517" w:rsidRPr="00A977AD" w:rsidRDefault="00CA7F11" w:rsidP="00E019A7">
      <w:r w:rsidRPr="00A977AD">
        <w:t xml:space="preserve">This principle is clearly </w:t>
      </w:r>
      <w:r w:rsidR="00D72A0F" w:rsidRPr="00A977AD">
        <w:t>relevant in times of austerity cuts in public services and provides guidance as to how</w:t>
      </w:r>
      <w:r w:rsidR="00FD18C3" w:rsidRPr="00A977AD">
        <w:t xml:space="preserve"> to</w:t>
      </w:r>
      <w:r w:rsidR="00D72A0F" w:rsidRPr="00A977AD">
        <w:t xml:space="preserve"> </w:t>
      </w:r>
      <w:r w:rsidR="00B95C49" w:rsidRPr="00A977AD">
        <w:t xml:space="preserve">take a human rights-based approach in such circumstances. </w:t>
      </w:r>
    </w:p>
    <w:p w14:paraId="13F6E2E0" w14:textId="46AA0F20" w:rsidR="0052288A" w:rsidRPr="00A977AD" w:rsidRDefault="003A3F61" w:rsidP="00E019A7">
      <w:pPr>
        <w:rPr>
          <w:b/>
          <w:bCs/>
          <w:lang w:eastAsia="en-GB"/>
        </w:rPr>
      </w:pPr>
      <w:r w:rsidRPr="00A977AD">
        <w:rPr>
          <w:lang w:eastAsia="en-GB"/>
        </w:rPr>
        <w:t xml:space="preserve">The </w:t>
      </w:r>
      <w:r w:rsidRPr="00A977AD">
        <w:rPr>
          <w:b/>
          <w:bCs/>
          <w:lang w:eastAsia="en-GB"/>
        </w:rPr>
        <w:t>“triple AAAQ”</w:t>
      </w:r>
      <w:r w:rsidRPr="00A977AD">
        <w:rPr>
          <w:lang w:eastAsia="en-GB"/>
        </w:rPr>
        <w:t xml:space="preserve"> framework is a set of criteria used to assess the </w:t>
      </w:r>
      <w:r w:rsidRPr="0033541F">
        <w:rPr>
          <w:b/>
          <w:bCs/>
          <w:lang w:eastAsia="en-GB"/>
        </w:rPr>
        <w:t>availability,</w:t>
      </w:r>
      <w:r w:rsidRPr="00A977AD">
        <w:rPr>
          <w:i/>
          <w:iCs/>
          <w:lang w:eastAsia="en-GB"/>
        </w:rPr>
        <w:t xml:space="preserve"> </w:t>
      </w:r>
      <w:r w:rsidRPr="0033541F">
        <w:rPr>
          <w:b/>
          <w:bCs/>
          <w:lang w:eastAsia="en-GB"/>
        </w:rPr>
        <w:t>accessibility</w:t>
      </w:r>
      <w:r w:rsidRPr="00A977AD">
        <w:rPr>
          <w:i/>
          <w:iCs/>
          <w:lang w:eastAsia="en-GB"/>
        </w:rPr>
        <w:t xml:space="preserve">, </w:t>
      </w:r>
      <w:r w:rsidRPr="0033541F">
        <w:rPr>
          <w:b/>
          <w:bCs/>
          <w:lang w:eastAsia="en-GB"/>
        </w:rPr>
        <w:t>acceptability,</w:t>
      </w:r>
      <w:r w:rsidRPr="00A977AD">
        <w:rPr>
          <w:i/>
          <w:iCs/>
          <w:lang w:eastAsia="en-GB"/>
        </w:rPr>
        <w:t xml:space="preserve"> </w:t>
      </w:r>
      <w:r w:rsidRPr="00A977AD">
        <w:rPr>
          <w:lang w:eastAsia="en-GB"/>
        </w:rPr>
        <w:t>and</w:t>
      </w:r>
      <w:r w:rsidRPr="00A977AD">
        <w:rPr>
          <w:i/>
          <w:iCs/>
          <w:lang w:eastAsia="en-GB"/>
        </w:rPr>
        <w:t xml:space="preserve"> </w:t>
      </w:r>
      <w:r w:rsidRPr="0033541F">
        <w:rPr>
          <w:b/>
          <w:bCs/>
          <w:lang w:eastAsia="en-GB"/>
        </w:rPr>
        <w:t>quality</w:t>
      </w:r>
      <w:r w:rsidRPr="00A977AD">
        <w:rPr>
          <w:lang w:eastAsia="en-GB"/>
        </w:rPr>
        <w:t xml:space="preserve"> of services delivering economic, social, and cultural rights</w:t>
      </w:r>
      <w:r w:rsidR="0052288A" w:rsidRPr="00A977AD">
        <w:rPr>
          <w:lang w:eastAsia="en-GB"/>
        </w:rPr>
        <w:t>.</w:t>
      </w:r>
      <w:r w:rsidR="008114DA" w:rsidRPr="00A977AD">
        <w:rPr>
          <w:lang w:eastAsia="en-GB"/>
        </w:rPr>
        <w:t xml:space="preserve">  </w:t>
      </w:r>
    </w:p>
    <w:p w14:paraId="6C000676" w14:textId="1FE4C622" w:rsidR="00A024C2" w:rsidRPr="00A977AD" w:rsidRDefault="0052288A" w:rsidP="00E019A7">
      <w:pPr>
        <w:rPr>
          <w:b/>
          <w:bCs/>
          <w:lang w:eastAsia="en-GB"/>
        </w:rPr>
      </w:pPr>
      <w:r w:rsidRPr="00A977AD">
        <w:rPr>
          <w:lang w:eastAsia="en-GB"/>
        </w:rPr>
        <w:t>U</w:t>
      </w:r>
      <w:r w:rsidR="008114DA" w:rsidRPr="00A977AD">
        <w:rPr>
          <w:lang w:eastAsia="en-GB"/>
        </w:rPr>
        <w:t>seful</w:t>
      </w:r>
      <w:r w:rsidR="003A3F61" w:rsidRPr="00A977AD">
        <w:rPr>
          <w:lang w:eastAsia="en-GB"/>
        </w:rPr>
        <w:t xml:space="preserve"> guidance </w:t>
      </w:r>
      <w:r w:rsidR="008114DA" w:rsidRPr="00A977AD">
        <w:rPr>
          <w:lang w:eastAsia="en-GB"/>
        </w:rPr>
        <w:t>is provided by</w:t>
      </w:r>
      <w:r w:rsidR="003A3F61" w:rsidRPr="00A977AD">
        <w:rPr>
          <w:lang w:eastAsia="en-GB"/>
        </w:rPr>
        <w:t xml:space="preserve"> the UN Committee on Economic, Social and Cultural Rights</w:t>
      </w:r>
      <w:r w:rsidR="002E3D72" w:rsidRPr="00A977AD">
        <w:rPr>
          <w:lang w:eastAsia="en-GB"/>
        </w:rPr>
        <w:t xml:space="preserve"> on the application of the </w:t>
      </w:r>
      <w:r w:rsidR="00643CB8" w:rsidRPr="00A977AD">
        <w:rPr>
          <w:lang w:eastAsia="en-GB"/>
        </w:rPr>
        <w:t>triple</w:t>
      </w:r>
      <w:r w:rsidR="002E3D72" w:rsidRPr="00A977AD">
        <w:rPr>
          <w:lang w:eastAsia="en-GB"/>
        </w:rPr>
        <w:t xml:space="preserve"> AAAQ in the context of the right to </w:t>
      </w:r>
      <w:r w:rsidR="002E3D72" w:rsidRPr="00B2096B">
        <w:rPr>
          <w:lang w:eastAsia="en-GB"/>
        </w:rPr>
        <w:t>health</w:t>
      </w:r>
      <w:r w:rsidR="003B0533" w:rsidRPr="009E71F7">
        <w:rPr>
          <w:rStyle w:val="EndnoteReference"/>
          <w:b/>
          <w:bCs/>
          <w:sz w:val="40"/>
          <w:szCs w:val="40"/>
          <w:lang w:eastAsia="en-GB"/>
        </w:rPr>
        <w:endnoteReference w:id="10"/>
      </w:r>
      <w:r w:rsidR="00B2096B" w:rsidRPr="009E71F7">
        <w:rPr>
          <w:b/>
          <w:bCs/>
          <w:sz w:val="40"/>
          <w:szCs w:val="40"/>
          <w:lang w:eastAsia="en-GB"/>
        </w:rPr>
        <w:t>.</w:t>
      </w:r>
      <w:r w:rsidR="00B2096B" w:rsidRPr="00B2096B">
        <w:rPr>
          <w:lang w:eastAsia="en-GB"/>
        </w:rPr>
        <w:t xml:space="preserve"> </w:t>
      </w:r>
      <w:r w:rsidR="00B2096B">
        <w:rPr>
          <w:lang w:eastAsia="en-GB"/>
        </w:rPr>
        <w:t>Th</w:t>
      </w:r>
      <w:r w:rsidR="00A7167B" w:rsidRPr="00A977AD">
        <w:rPr>
          <w:lang w:eastAsia="en-GB"/>
        </w:rPr>
        <w:t xml:space="preserve">is framework </w:t>
      </w:r>
      <w:r w:rsidR="003A3F61" w:rsidRPr="00A977AD">
        <w:rPr>
          <w:lang w:eastAsia="en-GB"/>
        </w:rPr>
        <w:t xml:space="preserve">can also be helpfully applied more broadly across </w:t>
      </w:r>
      <w:r w:rsidR="00DC41B2" w:rsidRPr="00A977AD">
        <w:rPr>
          <w:lang w:eastAsia="en-GB"/>
        </w:rPr>
        <w:t>civil and political rights</w:t>
      </w:r>
      <w:r w:rsidR="00A7167B" w:rsidRPr="00A977AD">
        <w:rPr>
          <w:lang w:eastAsia="en-GB"/>
        </w:rPr>
        <w:t xml:space="preserve"> as well as the UN Panel Principles</w:t>
      </w:r>
      <w:r w:rsidR="00DC41B2" w:rsidRPr="00A977AD">
        <w:rPr>
          <w:lang w:eastAsia="en-GB"/>
        </w:rPr>
        <w:t>.</w:t>
      </w:r>
    </w:p>
    <w:p w14:paraId="4AB5926A" w14:textId="77777777" w:rsidR="00DC41B2" w:rsidRPr="00A977AD" w:rsidRDefault="00DC41B2" w:rsidP="00E019A7">
      <w:pPr>
        <w:rPr>
          <w:b/>
          <w:bCs/>
          <w:lang w:eastAsia="en-GB"/>
        </w:rPr>
      </w:pPr>
    </w:p>
    <w:p w14:paraId="3121FF8F" w14:textId="7892E901" w:rsidR="003A3F61" w:rsidRDefault="009524EA" w:rsidP="00E019A7">
      <w:pPr>
        <w:rPr>
          <w:lang w:eastAsia="en-GB"/>
        </w:rPr>
      </w:pPr>
      <w:r w:rsidRPr="00A977AD">
        <w:rPr>
          <w:lang w:eastAsia="en-GB"/>
        </w:rPr>
        <w:lastRenderedPageBreak/>
        <w:t>T</w:t>
      </w:r>
      <w:r w:rsidR="00DA62A4" w:rsidRPr="00A977AD">
        <w:rPr>
          <w:lang w:eastAsia="en-GB"/>
        </w:rPr>
        <w:t>h</w:t>
      </w:r>
      <w:r w:rsidR="00EC28A2" w:rsidRPr="00A977AD">
        <w:rPr>
          <w:lang w:eastAsia="en-GB"/>
        </w:rPr>
        <w:t>e “triple AAAQ” framework</w:t>
      </w:r>
      <w:r w:rsidR="00DA62A4" w:rsidRPr="00A977AD">
        <w:rPr>
          <w:lang w:eastAsia="en-GB"/>
        </w:rPr>
        <w:t xml:space="preserve"> </w:t>
      </w:r>
      <w:r w:rsidR="00E8798E" w:rsidRPr="00A977AD">
        <w:rPr>
          <w:lang w:eastAsia="en-GB"/>
        </w:rPr>
        <w:t xml:space="preserve">is </w:t>
      </w:r>
      <w:r w:rsidR="00DA62A4" w:rsidRPr="00A977AD">
        <w:rPr>
          <w:lang w:eastAsia="en-GB"/>
        </w:rPr>
        <w:t xml:space="preserve">more </w:t>
      </w:r>
      <w:r w:rsidR="00BB4EFB" w:rsidRPr="00A977AD">
        <w:rPr>
          <w:lang w:eastAsia="en-GB"/>
        </w:rPr>
        <w:t xml:space="preserve">of </w:t>
      </w:r>
      <w:r w:rsidR="00DA62A4" w:rsidRPr="00A977AD">
        <w:rPr>
          <w:lang w:eastAsia="en-GB"/>
        </w:rPr>
        <w:t xml:space="preserve">a </w:t>
      </w:r>
      <w:r w:rsidR="00BB22DD" w:rsidRPr="00A977AD">
        <w:rPr>
          <w:lang w:eastAsia="en-GB"/>
        </w:rPr>
        <w:t xml:space="preserve">valuable </w:t>
      </w:r>
      <w:r w:rsidR="00DA62A4" w:rsidRPr="00A977AD">
        <w:rPr>
          <w:lang w:eastAsia="en-GB"/>
        </w:rPr>
        <w:t xml:space="preserve">tool </w:t>
      </w:r>
      <w:r w:rsidR="00BB4EFB" w:rsidRPr="00A977AD">
        <w:rPr>
          <w:lang w:eastAsia="en-GB"/>
        </w:rPr>
        <w:t xml:space="preserve">rather </w:t>
      </w:r>
      <w:r w:rsidR="00DA62A4" w:rsidRPr="00A977AD">
        <w:rPr>
          <w:lang w:eastAsia="en-GB"/>
        </w:rPr>
        <w:t>than a principle</w:t>
      </w:r>
      <w:r w:rsidR="006D5D9B" w:rsidRPr="00A977AD">
        <w:rPr>
          <w:lang w:eastAsia="en-GB"/>
        </w:rPr>
        <w:t xml:space="preserve"> as such</w:t>
      </w:r>
      <w:r w:rsidR="00C62793" w:rsidRPr="00A977AD">
        <w:rPr>
          <w:lang w:eastAsia="en-GB"/>
        </w:rPr>
        <w:t>. It is very relevant for the Charter</w:t>
      </w:r>
      <w:r w:rsidRPr="00A977AD">
        <w:rPr>
          <w:lang w:eastAsia="en-GB"/>
        </w:rPr>
        <w:t xml:space="preserve"> and is</w:t>
      </w:r>
      <w:r w:rsidR="00BB22DD" w:rsidRPr="00A977AD">
        <w:rPr>
          <w:lang w:eastAsia="en-GB"/>
        </w:rPr>
        <w:t xml:space="preserve"> </w:t>
      </w:r>
      <w:r w:rsidR="004A406B" w:rsidRPr="00A977AD">
        <w:rPr>
          <w:lang w:eastAsia="en-GB"/>
        </w:rPr>
        <w:t>integrated</w:t>
      </w:r>
      <w:r w:rsidR="00961501" w:rsidRPr="00A977AD">
        <w:rPr>
          <w:lang w:eastAsia="en-GB"/>
        </w:rPr>
        <w:t xml:space="preserve"> within </w:t>
      </w:r>
      <w:r w:rsidR="004A406B" w:rsidRPr="00A977AD">
        <w:rPr>
          <w:lang w:eastAsia="en-GB"/>
        </w:rPr>
        <w:t>the Charter’s</w:t>
      </w:r>
      <w:r w:rsidR="00504B58" w:rsidRPr="00A977AD">
        <w:rPr>
          <w:lang w:eastAsia="en-GB"/>
        </w:rPr>
        <w:t xml:space="preserve"> Toolkit which includes checklists and indicators</w:t>
      </w:r>
      <w:r w:rsidR="00463B41" w:rsidRPr="00A977AD">
        <w:rPr>
          <w:lang w:eastAsia="en-GB"/>
        </w:rPr>
        <w:t xml:space="preserve"> broadly based upon the </w:t>
      </w:r>
      <w:r w:rsidR="006D5D9B" w:rsidRPr="00A977AD">
        <w:rPr>
          <w:lang w:eastAsia="en-GB"/>
        </w:rPr>
        <w:t xml:space="preserve">AAAQ </w:t>
      </w:r>
      <w:r w:rsidR="00463B41" w:rsidRPr="00A977AD">
        <w:rPr>
          <w:lang w:eastAsia="en-GB"/>
        </w:rPr>
        <w:t>framework</w:t>
      </w:r>
      <w:r w:rsidR="00504B58" w:rsidRPr="00A977AD">
        <w:rPr>
          <w:lang w:eastAsia="en-GB"/>
        </w:rPr>
        <w:t>.</w:t>
      </w:r>
      <w:r w:rsidR="000F52AC" w:rsidRPr="00A977AD">
        <w:rPr>
          <w:lang w:eastAsia="en-GB"/>
        </w:rPr>
        <w:t xml:space="preserve"> </w:t>
      </w:r>
      <w:r w:rsidR="00317B47" w:rsidRPr="00A977AD">
        <w:rPr>
          <w:lang w:eastAsia="en-GB"/>
        </w:rPr>
        <w:t xml:space="preserve">An example of its </w:t>
      </w:r>
      <w:r w:rsidR="004E2D3B" w:rsidRPr="00A977AD">
        <w:rPr>
          <w:lang w:eastAsia="en-GB"/>
        </w:rPr>
        <w:t xml:space="preserve">practical </w:t>
      </w:r>
      <w:r w:rsidR="00317B47" w:rsidRPr="00A977AD">
        <w:rPr>
          <w:lang w:eastAsia="en-GB"/>
        </w:rPr>
        <w:t>application can be found in the Right to Health Checklist.</w:t>
      </w:r>
      <w:r w:rsidR="00BB4EFB" w:rsidRPr="00A977AD">
        <w:rPr>
          <w:lang w:eastAsia="en-GB"/>
        </w:rPr>
        <w:t xml:space="preserve"> </w:t>
      </w:r>
      <w:r w:rsidR="00DA62A4" w:rsidRPr="00A977AD">
        <w:rPr>
          <w:lang w:eastAsia="en-GB"/>
        </w:rPr>
        <w:t xml:space="preserve"> </w:t>
      </w:r>
    </w:p>
    <w:p w14:paraId="598C9B33" w14:textId="77777777" w:rsidR="00A977AD" w:rsidRPr="00A977AD" w:rsidRDefault="00A977AD" w:rsidP="00E019A7">
      <w:pPr>
        <w:pStyle w:val="Heading3"/>
        <w:rPr>
          <w:rFonts w:eastAsia="Times New Roman"/>
          <w:lang w:eastAsia="en-GB"/>
        </w:rPr>
      </w:pPr>
    </w:p>
    <w:p w14:paraId="359D61D8" w14:textId="72E150FE" w:rsidR="00392BD4" w:rsidRPr="00DC7340" w:rsidRDefault="000D393E" w:rsidP="00E019A7">
      <w:pPr>
        <w:pStyle w:val="Heading3"/>
        <w:rPr>
          <w:u w:val="single"/>
        </w:rPr>
      </w:pPr>
      <w:bookmarkStart w:id="66" w:name="_Toc184287895"/>
      <w:bookmarkStart w:id="67" w:name="_Toc184287993"/>
      <w:bookmarkStart w:id="68" w:name="_Toc184288724"/>
      <w:bookmarkStart w:id="69" w:name="_Toc184288769"/>
      <w:bookmarkStart w:id="70" w:name="_Toc184291318"/>
      <w:bookmarkStart w:id="71" w:name="_Toc184298363"/>
      <w:bookmarkStart w:id="72" w:name="_Toc184298460"/>
      <w:r w:rsidRPr="00DC7340">
        <w:rPr>
          <w:u w:val="single"/>
        </w:rPr>
        <w:t xml:space="preserve">(c) </w:t>
      </w:r>
      <w:r w:rsidR="00392BD4" w:rsidRPr="00DC7340">
        <w:rPr>
          <w:u w:val="single"/>
        </w:rPr>
        <w:t>UN Panel Principles</w:t>
      </w:r>
      <w:bookmarkEnd w:id="66"/>
      <w:bookmarkEnd w:id="67"/>
      <w:bookmarkEnd w:id="68"/>
      <w:bookmarkEnd w:id="69"/>
      <w:bookmarkEnd w:id="70"/>
      <w:bookmarkEnd w:id="71"/>
      <w:bookmarkEnd w:id="72"/>
    </w:p>
    <w:p w14:paraId="71BF7B60" w14:textId="186C483B" w:rsidR="00392BD4" w:rsidRPr="00A977AD" w:rsidRDefault="00392BD4" w:rsidP="00E019A7">
      <w:r w:rsidRPr="00A977AD">
        <w:t>The UN has developed a common understanding of the principles which underpin a human rights-based approach</w:t>
      </w:r>
      <w:r w:rsidR="0032653A" w:rsidRPr="009E71F7">
        <w:rPr>
          <w:rStyle w:val="EndnoteReference"/>
          <w:b/>
          <w:bCs/>
          <w:sz w:val="40"/>
          <w:szCs w:val="40"/>
        </w:rPr>
        <w:endnoteReference w:id="11"/>
      </w:r>
      <w:r w:rsidR="0032653A" w:rsidRPr="009E71F7">
        <w:rPr>
          <w:b/>
          <w:bCs/>
          <w:sz w:val="40"/>
          <w:szCs w:val="40"/>
        </w:rPr>
        <w:t>.</w:t>
      </w:r>
      <w:r w:rsidR="0032653A">
        <w:t xml:space="preserve"> </w:t>
      </w:r>
    </w:p>
    <w:p w14:paraId="59ECFEE5" w14:textId="77777777" w:rsidR="00392BD4" w:rsidRPr="00A977AD" w:rsidRDefault="00392BD4" w:rsidP="00E019A7">
      <w:r w:rsidRPr="00A977AD">
        <w:t xml:space="preserve">As the Scottish Human Rights Commission has noted: </w:t>
      </w:r>
    </w:p>
    <w:p w14:paraId="73FB7C1E" w14:textId="12ACC106" w:rsidR="00392BD4" w:rsidRPr="00A977AD" w:rsidRDefault="00392BD4" w:rsidP="00E019A7">
      <w:r w:rsidRPr="00A977AD">
        <w:t xml:space="preserve">“A Human Rights Based Approach (“HRBA”) is about empowering people to know and claim their </w:t>
      </w:r>
      <w:r w:rsidR="000F00D1" w:rsidRPr="00A977AD">
        <w:t>rights and</w:t>
      </w:r>
      <w:r w:rsidRPr="00A977AD">
        <w:t xml:space="preserve"> increasing the ability and accountability of individuals and institutions who are responsible for respecting, protecting, and fulfilling human rights.”</w:t>
      </w:r>
      <w:r w:rsidR="0032653A">
        <w:t xml:space="preserve"> </w:t>
      </w:r>
      <w:r w:rsidR="0032653A" w:rsidRPr="009E71F7">
        <w:rPr>
          <w:rStyle w:val="EndnoteReference"/>
          <w:b/>
          <w:bCs/>
          <w:sz w:val="40"/>
          <w:szCs w:val="40"/>
        </w:rPr>
        <w:endnoteReference w:id="12"/>
      </w:r>
      <w:r w:rsidR="0032653A" w:rsidRPr="009E71F7">
        <w:rPr>
          <w:b/>
          <w:bCs/>
          <w:sz w:val="40"/>
          <w:szCs w:val="40"/>
        </w:rPr>
        <w:t>.</w:t>
      </w:r>
      <w:r w:rsidR="0032653A">
        <w:t xml:space="preserve"> </w:t>
      </w:r>
      <w:r w:rsidR="002C56BE">
        <w:rPr>
          <w:b/>
          <w:bCs/>
        </w:rPr>
        <w:t xml:space="preserve"> </w:t>
      </w:r>
    </w:p>
    <w:p w14:paraId="37A5ED0C" w14:textId="2CC4DEC9" w:rsidR="007E5708" w:rsidRPr="00A977AD" w:rsidRDefault="007E5708" w:rsidP="00E019A7">
      <w:r w:rsidRPr="00A977AD">
        <w:t xml:space="preserve">The Panel Principles </w:t>
      </w:r>
      <w:r w:rsidR="000A5DC2" w:rsidRPr="00A977AD">
        <w:t>form the basis</w:t>
      </w:r>
      <w:r w:rsidR="00D764B4" w:rsidRPr="00A977AD">
        <w:t xml:space="preserve"> </w:t>
      </w:r>
      <w:r w:rsidR="00E67309" w:rsidRPr="00A977AD">
        <w:t>of</w:t>
      </w:r>
      <w:r w:rsidR="000A5DC2" w:rsidRPr="00A977AD">
        <w:t xml:space="preserve"> the Charter of Rights </w:t>
      </w:r>
      <w:r w:rsidR="00D764B4" w:rsidRPr="00A977AD">
        <w:t xml:space="preserve">and its </w:t>
      </w:r>
      <w:r w:rsidR="0003596E" w:rsidRPr="00A977AD">
        <w:t xml:space="preserve">Toolkit which provides more practical </w:t>
      </w:r>
      <w:r w:rsidR="001D1A7E" w:rsidRPr="00A977AD">
        <w:t>guidance</w:t>
      </w:r>
      <w:r w:rsidR="007874A1" w:rsidRPr="00A977AD">
        <w:t xml:space="preserve"> o</w:t>
      </w:r>
      <w:r w:rsidR="001D1A7E" w:rsidRPr="00A977AD">
        <w:t>n</w:t>
      </w:r>
      <w:r w:rsidR="007874A1" w:rsidRPr="00A977AD">
        <w:t xml:space="preserve"> good practice.</w:t>
      </w:r>
    </w:p>
    <w:p w14:paraId="11D57E71" w14:textId="4CDA03E5" w:rsidR="00392BD4" w:rsidRPr="00A977AD" w:rsidRDefault="00392BD4" w:rsidP="00E019A7">
      <w:r w:rsidRPr="00A977AD">
        <w:t xml:space="preserve">The principles underlying a HRBA, as developed by the UN and </w:t>
      </w:r>
      <w:r w:rsidR="00B8585B" w:rsidRPr="00A977AD">
        <w:t xml:space="preserve">which have become </w:t>
      </w:r>
      <w:r w:rsidRPr="00A977AD">
        <w:t xml:space="preserve">known as the Panel Principles, can be summarised as the following,  </w:t>
      </w:r>
    </w:p>
    <w:p w14:paraId="46606C1F" w14:textId="77777777" w:rsidR="00392BD4" w:rsidRPr="00A977AD" w:rsidRDefault="00392BD4" w:rsidP="00227674">
      <w:pPr>
        <w:pStyle w:val="ListParagraph"/>
        <w:numPr>
          <w:ilvl w:val="0"/>
          <w:numId w:val="21"/>
        </w:numPr>
        <w:ind w:left="714" w:hanging="357"/>
        <w:contextualSpacing w:val="0"/>
      </w:pPr>
      <w:r w:rsidRPr="00E019A7">
        <w:rPr>
          <w:b/>
          <w:bCs/>
        </w:rPr>
        <w:t>P</w:t>
      </w:r>
      <w:r w:rsidRPr="00A977AD">
        <w:t xml:space="preserve">articipation, </w:t>
      </w:r>
    </w:p>
    <w:p w14:paraId="7C20CE81" w14:textId="77777777" w:rsidR="00392BD4" w:rsidRPr="00A977AD" w:rsidRDefault="00392BD4" w:rsidP="00227674">
      <w:pPr>
        <w:pStyle w:val="ListParagraph"/>
        <w:numPr>
          <w:ilvl w:val="0"/>
          <w:numId w:val="21"/>
        </w:numPr>
        <w:ind w:left="714" w:hanging="357"/>
        <w:contextualSpacing w:val="0"/>
      </w:pPr>
      <w:r w:rsidRPr="00E019A7">
        <w:rPr>
          <w:b/>
          <w:bCs/>
        </w:rPr>
        <w:t>A</w:t>
      </w:r>
      <w:r w:rsidRPr="00A977AD">
        <w:t>ccountability,</w:t>
      </w:r>
    </w:p>
    <w:p w14:paraId="119F24A0" w14:textId="77777777" w:rsidR="00392BD4" w:rsidRPr="00A977AD" w:rsidRDefault="00392BD4" w:rsidP="00227674">
      <w:pPr>
        <w:pStyle w:val="ListParagraph"/>
        <w:numPr>
          <w:ilvl w:val="0"/>
          <w:numId w:val="21"/>
        </w:numPr>
        <w:ind w:left="714" w:hanging="357"/>
        <w:contextualSpacing w:val="0"/>
      </w:pPr>
      <w:r w:rsidRPr="00E019A7">
        <w:rPr>
          <w:b/>
          <w:bCs/>
        </w:rPr>
        <w:t>N</w:t>
      </w:r>
      <w:r w:rsidRPr="00A977AD">
        <w:t>on-discrimination and equality</w:t>
      </w:r>
    </w:p>
    <w:p w14:paraId="214CC80C" w14:textId="77777777" w:rsidR="00392BD4" w:rsidRPr="00A977AD" w:rsidRDefault="00392BD4" w:rsidP="00227674">
      <w:pPr>
        <w:pStyle w:val="ListParagraph"/>
        <w:numPr>
          <w:ilvl w:val="0"/>
          <w:numId w:val="21"/>
        </w:numPr>
        <w:ind w:left="714" w:hanging="357"/>
        <w:contextualSpacing w:val="0"/>
      </w:pPr>
      <w:r w:rsidRPr="00E019A7">
        <w:rPr>
          <w:b/>
          <w:bCs/>
        </w:rPr>
        <w:t>E</w:t>
      </w:r>
      <w:r w:rsidRPr="00A977AD">
        <w:t>mpowerment and capacity-building</w:t>
      </w:r>
    </w:p>
    <w:p w14:paraId="19A3377F" w14:textId="77777777" w:rsidR="00392BD4" w:rsidRPr="00A977AD" w:rsidRDefault="00392BD4" w:rsidP="00227674">
      <w:pPr>
        <w:pStyle w:val="ListParagraph"/>
        <w:numPr>
          <w:ilvl w:val="0"/>
          <w:numId w:val="21"/>
        </w:numPr>
        <w:ind w:left="714" w:hanging="357"/>
        <w:contextualSpacing w:val="0"/>
      </w:pPr>
      <w:r w:rsidRPr="00E019A7">
        <w:rPr>
          <w:b/>
          <w:bCs/>
        </w:rPr>
        <w:t>L</w:t>
      </w:r>
      <w:r w:rsidRPr="00A977AD">
        <w:t xml:space="preserve">egality </w:t>
      </w:r>
    </w:p>
    <w:p w14:paraId="2594D363" w14:textId="5222A9BE" w:rsidR="00227674" w:rsidRDefault="00392BD4" w:rsidP="00E019A7">
      <w:r w:rsidRPr="00A977AD">
        <w:t>The following table sets out the meaning of each of these principles and applies each principle to the subject area of substance use.</w:t>
      </w:r>
      <w:r w:rsidR="00415470" w:rsidRPr="00A977AD">
        <w:t xml:space="preserve"> They are inter-related and should be applied </w:t>
      </w:r>
      <w:r w:rsidR="00940C0A" w:rsidRPr="00A977AD">
        <w:t>together.</w:t>
      </w:r>
    </w:p>
    <w:p w14:paraId="16D6BFCF" w14:textId="77777777" w:rsidR="00227674" w:rsidRDefault="00227674">
      <w:r>
        <w:br w:type="page"/>
      </w:r>
    </w:p>
    <w:p w14:paraId="0A538264" w14:textId="77777777" w:rsidR="00227674" w:rsidRDefault="00227674" w:rsidP="00227674">
      <w:pPr>
        <w:pStyle w:val="Heading3"/>
        <w:rPr>
          <w:lang w:val="en-US"/>
        </w:rPr>
      </w:pPr>
      <w:r>
        <w:rPr>
          <w:lang w:val="en-US"/>
        </w:rPr>
        <w:lastRenderedPageBreak/>
        <w:t xml:space="preserve">PANEL Principle and their application to people affected by substance use </w:t>
      </w:r>
    </w:p>
    <w:p w14:paraId="20D3A3A9" w14:textId="77777777" w:rsidR="00227674" w:rsidRPr="00227674" w:rsidRDefault="00227674" w:rsidP="00227674">
      <w:pPr>
        <w:rPr>
          <w:lang w:val="en-US"/>
        </w:rPr>
      </w:pPr>
    </w:p>
    <w:p w14:paraId="40BDEC6D" w14:textId="77777777" w:rsidR="00227674" w:rsidRPr="00A12E13" w:rsidRDefault="00227674" w:rsidP="00227674">
      <w:pPr>
        <w:rPr>
          <w:b/>
          <w:bCs/>
          <w:lang w:val="en-US"/>
        </w:rPr>
      </w:pPr>
      <w:r w:rsidRPr="00A12E13">
        <w:rPr>
          <w:b/>
          <w:bCs/>
          <w:lang w:val="en-US"/>
        </w:rPr>
        <w:t xml:space="preserve">Participation </w:t>
      </w:r>
    </w:p>
    <w:p w14:paraId="5123F0FB" w14:textId="77777777" w:rsidR="00227674" w:rsidRDefault="00227674" w:rsidP="00227674">
      <w:pPr>
        <w:rPr>
          <w:lang w:val="en-US"/>
        </w:rPr>
      </w:pPr>
      <w:r>
        <w:rPr>
          <w:lang w:val="en-US"/>
        </w:rPr>
        <w:t xml:space="preserve">Definition: </w:t>
      </w:r>
    </w:p>
    <w:p w14:paraId="6AE0AFC9" w14:textId="77777777" w:rsidR="00227674" w:rsidRDefault="00227674" w:rsidP="00227674">
      <w:pPr>
        <w:pStyle w:val="ListParagraph"/>
        <w:numPr>
          <w:ilvl w:val="0"/>
          <w:numId w:val="24"/>
        </w:numPr>
        <w:spacing w:line="278" w:lineRule="auto"/>
        <w:rPr>
          <w:rFonts w:cs="Arial"/>
        </w:rPr>
      </w:pPr>
      <w:r w:rsidRPr="00A12E13">
        <w:rPr>
          <w:rFonts w:cs="Arial"/>
        </w:rPr>
        <w:t xml:space="preserve">Everyone has the right to participate in decisions that affect them, and in the design, implementation and assessment of laws, policies and practices affecting fulfilment of their rights. </w:t>
      </w:r>
    </w:p>
    <w:p w14:paraId="48C4B3B8" w14:textId="77777777" w:rsidR="00227674" w:rsidRPr="00A12E13" w:rsidRDefault="00227674" w:rsidP="00227674">
      <w:pPr>
        <w:pStyle w:val="ListParagraph"/>
        <w:numPr>
          <w:ilvl w:val="0"/>
          <w:numId w:val="24"/>
        </w:numPr>
        <w:spacing w:line="278" w:lineRule="auto"/>
        <w:rPr>
          <w:rFonts w:cs="Arial"/>
        </w:rPr>
      </w:pPr>
      <w:r w:rsidRPr="00A12E13">
        <w:rPr>
          <w:rFonts w:cs="Arial"/>
        </w:rPr>
        <w:t>Participation should be active, free, and meaningful and give attention to issues of accessibility, including access to information in a form and a language which can be understood.</w:t>
      </w:r>
    </w:p>
    <w:p w14:paraId="3D2F83DE" w14:textId="77777777" w:rsidR="00227674" w:rsidRPr="00A12E13" w:rsidRDefault="00227674" w:rsidP="00227674">
      <w:pPr>
        <w:tabs>
          <w:tab w:val="left" w:pos="6400"/>
        </w:tabs>
        <w:rPr>
          <w:b/>
          <w:bCs/>
          <w:lang w:val="en-US"/>
        </w:rPr>
      </w:pPr>
      <w:r w:rsidRPr="00A12E13">
        <w:rPr>
          <w:b/>
          <w:bCs/>
          <w:lang w:val="en-US"/>
        </w:rPr>
        <w:t>Application to people affected by substance use:</w:t>
      </w:r>
    </w:p>
    <w:p w14:paraId="62E2B64F" w14:textId="77777777" w:rsidR="00227674" w:rsidRPr="00A12E13" w:rsidRDefault="00227674" w:rsidP="00227674">
      <w:pPr>
        <w:pStyle w:val="ListParagraph"/>
        <w:numPr>
          <w:ilvl w:val="0"/>
          <w:numId w:val="24"/>
        </w:numPr>
        <w:spacing w:line="278" w:lineRule="auto"/>
        <w:rPr>
          <w:rFonts w:cs="Arial"/>
        </w:rPr>
      </w:pPr>
      <w:r w:rsidRPr="00A12E13">
        <w:rPr>
          <w:rFonts w:cs="Arial"/>
        </w:rPr>
        <w:t>People affected by substance use should have their views heard and acted upon in a meaningful way, in relation to:</w:t>
      </w:r>
    </w:p>
    <w:p w14:paraId="2E78ECA9" w14:textId="77777777" w:rsidR="00227674" w:rsidRPr="00A977AD" w:rsidRDefault="00227674" w:rsidP="00227674">
      <w:pPr>
        <w:pStyle w:val="ListParagraph"/>
        <w:numPr>
          <w:ilvl w:val="1"/>
          <w:numId w:val="24"/>
        </w:numPr>
        <w:rPr>
          <w:rFonts w:cs="Arial"/>
          <w:sz w:val="24"/>
          <w:szCs w:val="24"/>
        </w:rPr>
      </w:pPr>
      <w:r w:rsidRPr="00A977AD">
        <w:rPr>
          <w:rFonts w:cs="Arial"/>
          <w:sz w:val="24"/>
          <w:szCs w:val="24"/>
        </w:rPr>
        <w:t xml:space="preserve">decisions affecting them, including their treatment, health and social care, and other support services; and </w:t>
      </w:r>
    </w:p>
    <w:p w14:paraId="701BE1D0" w14:textId="77777777" w:rsidR="00227674" w:rsidRPr="006C3784" w:rsidRDefault="00227674" w:rsidP="00227674">
      <w:pPr>
        <w:pStyle w:val="ListParagraph"/>
        <w:numPr>
          <w:ilvl w:val="1"/>
          <w:numId w:val="24"/>
        </w:numPr>
        <w:contextualSpacing w:val="0"/>
        <w:rPr>
          <w:rFonts w:cs="Arial"/>
          <w:sz w:val="24"/>
          <w:szCs w:val="24"/>
        </w:rPr>
      </w:pPr>
      <w:r w:rsidRPr="00A977AD">
        <w:rPr>
          <w:rFonts w:cs="Arial"/>
          <w:sz w:val="24"/>
          <w:szCs w:val="24"/>
        </w:rPr>
        <w:t>laws, policies, and practices affecting fulfilment of their rights.</w:t>
      </w:r>
    </w:p>
    <w:p w14:paraId="78B2E145" w14:textId="77777777" w:rsidR="00227674" w:rsidRDefault="00227674" w:rsidP="00227674">
      <w:pPr>
        <w:pStyle w:val="ListParagraph"/>
        <w:numPr>
          <w:ilvl w:val="0"/>
          <w:numId w:val="24"/>
        </w:numPr>
        <w:spacing w:line="278" w:lineRule="auto"/>
        <w:rPr>
          <w:rFonts w:cs="Arial"/>
        </w:rPr>
      </w:pPr>
      <w:r w:rsidRPr="00A12E13">
        <w:rPr>
          <w:rFonts w:cs="Arial"/>
        </w:rPr>
        <w:t>People affected by substance use include families, carers, and supporters of those directly affected. The state should ensure wider stakeholders are able to participate meaningfully in the design, implementation and assessment of laws, policies and practices affecting them.</w:t>
      </w:r>
    </w:p>
    <w:p w14:paraId="017905E3" w14:textId="77777777" w:rsidR="00227674" w:rsidRDefault="00227674" w:rsidP="00227674">
      <w:pPr>
        <w:pStyle w:val="ListParagraph"/>
        <w:numPr>
          <w:ilvl w:val="0"/>
          <w:numId w:val="24"/>
        </w:numPr>
        <w:spacing w:line="278" w:lineRule="auto"/>
        <w:rPr>
          <w:rFonts w:cs="Arial"/>
        </w:rPr>
      </w:pPr>
      <w:r w:rsidRPr="00A12E13">
        <w:rPr>
          <w:rFonts w:cs="Arial"/>
        </w:rPr>
        <w:t>The state should ensure effective and accessible communication in all contexts in which decisions are being taken affecting the person affected by substance use and ensure meaningful opportunities to participate in the creation of laws, policies and practices affecting fulfilment of their rights.</w:t>
      </w:r>
    </w:p>
    <w:p w14:paraId="1AE385A5" w14:textId="77777777" w:rsidR="00227674" w:rsidRDefault="00227674" w:rsidP="00227674">
      <w:pPr>
        <w:rPr>
          <w:rFonts w:cs="Arial"/>
        </w:rPr>
      </w:pPr>
    </w:p>
    <w:p w14:paraId="258ADCEB" w14:textId="77777777" w:rsidR="00227674" w:rsidRPr="00A12E13" w:rsidRDefault="00227674" w:rsidP="00227674">
      <w:pPr>
        <w:rPr>
          <w:rFonts w:cs="Arial"/>
          <w:b/>
          <w:bCs/>
        </w:rPr>
      </w:pPr>
      <w:r w:rsidRPr="00A12E13">
        <w:rPr>
          <w:rFonts w:cs="Arial"/>
          <w:b/>
          <w:bCs/>
        </w:rPr>
        <w:t xml:space="preserve">Accountability </w:t>
      </w:r>
    </w:p>
    <w:p w14:paraId="5B49D768" w14:textId="77777777" w:rsidR="00227674" w:rsidRDefault="00227674" w:rsidP="00227674">
      <w:pPr>
        <w:rPr>
          <w:rFonts w:cs="Arial"/>
        </w:rPr>
      </w:pPr>
      <w:r>
        <w:rPr>
          <w:rFonts w:cs="Arial"/>
        </w:rPr>
        <w:t>Definition:</w:t>
      </w:r>
    </w:p>
    <w:p w14:paraId="3AD9A389" w14:textId="77777777" w:rsidR="00227674" w:rsidRDefault="00227674" w:rsidP="00227674">
      <w:pPr>
        <w:pStyle w:val="ListParagraph"/>
        <w:numPr>
          <w:ilvl w:val="0"/>
          <w:numId w:val="24"/>
        </w:numPr>
        <w:spacing w:line="278" w:lineRule="auto"/>
        <w:rPr>
          <w:rFonts w:cs="Arial"/>
        </w:rPr>
      </w:pPr>
      <w:r w:rsidRPr="00A12E13">
        <w:rPr>
          <w:rFonts w:cs="Arial"/>
        </w:rPr>
        <w:t xml:space="preserve">Accountability requires that those who are responsible for respecting, protecting, and fulfilling people’s rights are held to account in relation to those obligations. </w:t>
      </w:r>
    </w:p>
    <w:p w14:paraId="4A638C65" w14:textId="77777777" w:rsidR="00227674" w:rsidRDefault="00227674" w:rsidP="00227674">
      <w:pPr>
        <w:pStyle w:val="ListParagraph"/>
        <w:numPr>
          <w:ilvl w:val="0"/>
          <w:numId w:val="24"/>
        </w:numPr>
        <w:spacing w:line="278" w:lineRule="auto"/>
        <w:rPr>
          <w:rFonts w:cs="Arial"/>
        </w:rPr>
      </w:pPr>
      <w:r w:rsidRPr="00A12E13">
        <w:rPr>
          <w:rFonts w:cs="Arial"/>
        </w:rPr>
        <w:lastRenderedPageBreak/>
        <w:t xml:space="preserve">This involves identifying who is accountable, for what, and how they will be held to account for their obligations. </w:t>
      </w:r>
    </w:p>
    <w:p w14:paraId="680DDF6C" w14:textId="77777777" w:rsidR="00227674" w:rsidRDefault="00227674" w:rsidP="00227674">
      <w:pPr>
        <w:pStyle w:val="ListParagraph"/>
        <w:numPr>
          <w:ilvl w:val="0"/>
          <w:numId w:val="24"/>
        </w:numPr>
        <w:spacing w:line="278" w:lineRule="auto"/>
        <w:rPr>
          <w:rFonts w:cs="Arial"/>
        </w:rPr>
      </w:pPr>
      <w:r w:rsidRPr="00A12E13">
        <w:rPr>
          <w:rFonts w:cs="Arial"/>
        </w:rPr>
        <w:t xml:space="preserve">Accountability needs effective monitoring, through data collection and collation of qualitative evidence, for example through inspections and/or interviews with people affected. </w:t>
      </w:r>
    </w:p>
    <w:p w14:paraId="77411F2D" w14:textId="77777777" w:rsidR="00227674" w:rsidRDefault="00227674" w:rsidP="00227674">
      <w:pPr>
        <w:pStyle w:val="ListParagraph"/>
        <w:numPr>
          <w:ilvl w:val="0"/>
          <w:numId w:val="24"/>
        </w:numPr>
        <w:spacing w:line="278" w:lineRule="auto"/>
        <w:rPr>
          <w:rFonts w:cs="Arial"/>
        </w:rPr>
      </w:pPr>
      <w:r w:rsidRPr="00A12E13">
        <w:rPr>
          <w:rFonts w:cs="Arial"/>
        </w:rPr>
        <w:t>It means that everyone has the right to an effective remedy when their rights are not fulfilled or are breached. This requires access to both administrative and judicial remedies, which should be accessible, affordable, timely and effective.</w:t>
      </w:r>
    </w:p>
    <w:p w14:paraId="18560599" w14:textId="77777777" w:rsidR="00227674" w:rsidRPr="00A12E13" w:rsidRDefault="00227674" w:rsidP="00227674">
      <w:pPr>
        <w:rPr>
          <w:rFonts w:cs="Arial"/>
          <w:b/>
          <w:bCs/>
        </w:rPr>
      </w:pPr>
      <w:r w:rsidRPr="00A12E13">
        <w:rPr>
          <w:rFonts w:cs="Arial"/>
          <w:b/>
          <w:bCs/>
        </w:rPr>
        <w:t>Application to people affected by substance use:</w:t>
      </w:r>
    </w:p>
    <w:p w14:paraId="372188FD" w14:textId="77777777" w:rsidR="00227674" w:rsidRPr="00A12E13" w:rsidRDefault="00227674" w:rsidP="00227674">
      <w:pPr>
        <w:pStyle w:val="ListParagraph"/>
        <w:numPr>
          <w:ilvl w:val="0"/>
          <w:numId w:val="24"/>
        </w:numPr>
        <w:spacing w:line="278" w:lineRule="auto"/>
        <w:rPr>
          <w:rFonts w:cs="Arial"/>
        </w:rPr>
      </w:pPr>
      <w:r w:rsidRPr="00A12E13">
        <w:rPr>
          <w:rFonts w:cs="Arial"/>
        </w:rPr>
        <w:t xml:space="preserve">Laws, policies, and processes should be in place to monitor respect, protection, and fulfilment of the human rights of people affected by substance use. This applies to the central state, local authorities, other public authorities, and may also apply to private organisations and individuals carrying out public functions. </w:t>
      </w:r>
    </w:p>
    <w:p w14:paraId="1C91138D" w14:textId="77777777" w:rsidR="00227674" w:rsidRPr="00A12E13" w:rsidRDefault="00227674" w:rsidP="00227674">
      <w:pPr>
        <w:pStyle w:val="ListParagraph"/>
        <w:numPr>
          <w:ilvl w:val="0"/>
          <w:numId w:val="24"/>
        </w:numPr>
        <w:spacing w:line="278" w:lineRule="auto"/>
        <w:rPr>
          <w:rFonts w:cs="Arial"/>
        </w:rPr>
      </w:pPr>
      <w:r w:rsidRPr="00A12E13">
        <w:rPr>
          <w:rFonts w:cs="Arial"/>
        </w:rPr>
        <w:t xml:space="preserve">People affected by substance use should have accessible, affordable, timely and effective routes to remedy when their rights are not adequately fulfilled. </w:t>
      </w:r>
    </w:p>
    <w:p w14:paraId="04A7C033" w14:textId="77777777" w:rsidR="00227674" w:rsidRDefault="00227674" w:rsidP="00227674">
      <w:pPr>
        <w:ind w:left="360"/>
        <w:rPr>
          <w:rFonts w:cs="Arial"/>
        </w:rPr>
      </w:pPr>
    </w:p>
    <w:p w14:paraId="32850BF1" w14:textId="77777777" w:rsidR="00227674" w:rsidRPr="000A17DE" w:rsidRDefault="00227674" w:rsidP="000A17DE">
      <w:pPr>
        <w:rPr>
          <w:b/>
          <w:bCs/>
        </w:rPr>
      </w:pPr>
      <w:r w:rsidRPr="000A17DE">
        <w:rPr>
          <w:b/>
          <w:bCs/>
        </w:rPr>
        <w:t>Non-Discrimination and equality:</w:t>
      </w:r>
    </w:p>
    <w:p w14:paraId="3527E4DC" w14:textId="77777777" w:rsidR="00227674" w:rsidRPr="00A12E13" w:rsidRDefault="00227674" w:rsidP="00227674">
      <w:pPr>
        <w:pStyle w:val="ListParagraph"/>
        <w:numPr>
          <w:ilvl w:val="0"/>
          <w:numId w:val="24"/>
        </w:numPr>
        <w:spacing w:line="278" w:lineRule="auto"/>
        <w:rPr>
          <w:rFonts w:cs="Arial"/>
        </w:rPr>
      </w:pPr>
      <w:r w:rsidRPr="00A12E13">
        <w:rPr>
          <w:rFonts w:cs="Arial"/>
        </w:rPr>
        <w:t>Everyone is entitled to fulfilment of their human rights without discrimination. All forms of discrimination should be prohibited, prevented, and eliminated.</w:t>
      </w:r>
    </w:p>
    <w:p w14:paraId="56838A43" w14:textId="77777777" w:rsidR="00227674" w:rsidRDefault="00227674" w:rsidP="00227674">
      <w:pPr>
        <w:pStyle w:val="ListParagraph"/>
        <w:numPr>
          <w:ilvl w:val="0"/>
          <w:numId w:val="24"/>
        </w:numPr>
        <w:spacing w:line="278" w:lineRule="auto"/>
        <w:rPr>
          <w:rFonts w:cs="Arial"/>
        </w:rPr>
      </w:pPr>
      <w:r w:rsidRPr="00A12E13">
        <w:rPr>
          <w:rFonts w:cs="Arial"/>
        </w:rPr>
        <w:t>People who face the biggest barriers to realising their rights should be prioritised.</w:t>
      </w:r>
    </w:p>
    <w:p w14:paraId="0F5C0AFA" w14:textId="77777777" w:rsidR="00227674" w:rsidRPr="008C0374" w:rsidRDefault="00227674" w:rsidP="00227674">
      <w:pPr>
        <w:rPr>
          <w:rFonts w:cs="Arial"/>
          <w:b/>
          <w:bCs/>
        </w:rPr>
      </w:pPr>
      <w:r w:rsidRPr="008C0374">
        <w:rPr>
          <w:rFonts w:cs="Arial"/>
          <w:b/>
          <w:bCs/>
        </w:rPr>
        <w:t>Application to people affected by substance use:</w:t>
      </w:r>
    </w:p>
    <w:p w14:paraId="591DDC1B" w14:textId="77777777" w:rsidR="00227674" w:rsidRPr="00A12E13" w:rsidRDefault="00227674" w:rsidP="00227674">
      <w:pPr>
        <w:pStyle w:val="ListParagraph"/>
        <w:numPr>
          <w:ilvl w:val="0"/>
          <w:numId w:val="24"/>
        </w:numPr>
        <w:spacing w:line="278" w:lineRule="auto"/>
        <w:rPr>
          <w:rFonts w:cs="Arial"/>
        </w:rPr>
      </w:pPr>
      <w:r w:rsidRPr="00A12E13">
        <w:rPr>
          <w:rFonts w:cs="Arial"/>
        </w:rPr>
        <w:t>People affected by substance use should not be discriminated against in relation to respecting, protecting, and fulfilling their human rights, directly or indirectly, including on account of their health status, physical or mental, or perceived health status, including substance use.</w:t>
      </w:r>
    </w:p>
    <w:p w14:paraId="6991D5FE" w14:textId="77777777" w:rsidR="00227674" w:rsidRPr="00A12E13" w:rsidRDefault="00227674" w:rsidP="00227674">
      <w:pPr>
        <w:pStyle w:val="ListParagraph"/>
        <w:numPr>
          <w:ilvl w:val="0"/>
          <w:numId w:val="24"/>
        </w:numPr>
        <w:spacing w:line="278" w:lineRule="auto"/>
        <w:rPr>
          <w:rFonts w:cs="Arial"/>
        </w:rPr>
      </w:pPr>
      <w:r w:rsidRPr="00A12E13">
        <w:rPr>
          <w:rFonts w:cs="Arial"/>
        </w:rPr>
        <w:t xml:space="preserve">The state should take effective steps to counter stigmatisation of people affected by substance use. </w:t>
      </w:r>
    </w:p>
    <w:p w14:paraId="1ACB577A" w14:textId="77777777" w:rsidR="00227674" w:rsidRPr="00A12E13" w:rsidRDefault="00227674" w:rsidP="00227674">
      <w:pPr>
        <w:pStyle w:val="ListParagraph"/>
        <w:numPr>
          <w:ilvl w:val="0"/>
          <w:numId w:val="24"/>
        </w:numPr>
        <w:spacing w:line="278" w:lineRule="auto"/>
        <w:rPr>
          <w:rFonts w:cs="Arial"/>
        </w:rPr>
      </w:pPr>
      <w:r w:rsidRPr="00A12E13">
        <w:rPr>
          <w:rFonts w:cs="Arial"/>
        </w:rPr>
        <w:lastRenderedPageBreak/>
        <w:t xml:space="preserve">As people affected by substance use are marginalised compared to the general population and face barriers in accessing health and social care and other support, the state should prioritise realising their rights and should ensure maximum available resources are applied to doing so, using human rights-based budgeting.  </w:t>
      </w:r>
    </w:p>
    <w:p w14:paraId="05E7B3DF" w14:textId="77777777" w:rsidR="00227674" w:rsidRDefault="00227674" w:rsidP="00227674">
      <w:pPr>
        <w:pStyle w:val="ListParagraph"/>
        <w:rPr>
          <w:rFonts w:cs="Arial"/>
          <w:b/>
          <w:bCs/>
        </w:rPr>
      </w:pPr>
    </w:p>
    <w:p w14:paraId="24EC2F9B" w14:textId="77777777" w:rsidR="00227674" w:rsidRPr="00227674" w:rsidRDefault="00227674" w:rsidP="00227674">
      <w:pPr>
        <w:rPr>
          <w:b/>
          <w:bCs/>
        </w:rPr>
      </w:pPr>
      <w:r w:rsidRPr="00227674">
        <w:rPr>
          <w:b/>
          <w:bCs/>
        </w:rPr>
        <w:t>Empowerment and capacity-building</w:t>
      </w:r>
    </w:p>
    <w:p w14:paraId="13EB0CA0" w14:textId="77777777" w:rsidR="00227674" w:rsidRPr="008C0374" w:rsidRDefault="00227674" w:rsidP="00227674">
      <w:pPr>
        <w:rPr>
          <w:rFonts w:cs="Arial"/>
        </w:rPr>
      </w:pPr>
      <w:r w:rsidRPr="008C0374">
        <w:rPr>
          <w:rFonts w:cs="Arial"/>
        </w:rPr>
        <w:t>Definition:</w:t>
      </w:r>
    </w:p>
    <w:p w14:paraId="3B501C42" w14:textId="77777777" w:rsidR="00227674" w:rsidRDefault="00227674" w:rsidP="00227674">
      <w:pPr>
        <w:pStyle w:val="ListParagraph"/>
        <w:numPr>
          <w:ilvl w:val="0"/>
          <w:numId w:val="24"/>
        </w:numPr>
        <w:spacing w:line="278" w:lineRule="auto"/>
        <w:rPr>
          <w:rFonts w:cs="Arial"/>
        </w:rPr>
      </w:pPr>
      <w:r w:rsidRPr="008C0374">
        <w:rPr>
          <w:rFonts w:cs="Arial"/>
        </w:rPr>
        <w:t>Everyone should know and understand their rights, and be supported to claim their rights, seek an effective remedy for breach, and participate in development of laws, policies and practices affecting the fulfilment of those rights.</w:t>
      </w:r>
    </w:p>
    <w:p w14:paraId="0B58EA6B" w14:textId="77777777" w:rsidR="00227674" w:rsidRDefault="00227674" w:rsidP="00227674">
      <w:pPr>
        <w:pStyle w:val="ListParagraph"/>
        <w:numPr>
          <w:ilvl w:val="0"/>
          <w:numId w:val="24"/>
        </w:numPr>
        <w:spacing w:line="278" w:lineRule="auto"/>
        <w:rPr>
          <w:rFonts w:cs="Arial"/>
        </w:rPr>
      </w:pPr>
      <w:r w:rsidRPr="008C0374">
        <w:rPr>
          <w:rFonts w:cs="Arial"/>
        </w:rPr>
        <w:t>Duty bearers should take steps, including policy development and practical training, to improve their ability to respect, protect and fulfil the rights of people affected by substance use.</w:t>
      </w:r>
    </w:p>
    <w:p w14:paraId="6D25C790" w14:textId="77777777" w:rsidR="00227674" w:rsidRPr="008C0374" w:rsidRDefault="00227674" w:rsidP="00227674">
      <w:pPr>
        <w:rPr>
          <w:rFonts w:cs="Arial"/>
          <w:b/>
          <w:bCs/>
        </w:rPr>
      </w:pPr>
      <w:r w:rsidRPr="008C0374">
        <w:rPr>
          <w:rFonts w:cs="Arial"/>
          <w:b/>
          <w:bCs/>
        </w:rPr>
        <w:t>Application to people affected by substance use:</w:t>
      </w:r>
    </w:p>
    <w:p w14:paraId="5D65BE18" w14:textId="77777777" w:rsidR="00227674" w:rsidRDefault="00227674" w:rsidP="00227674">
      <w:pPr>
        <w:pStyle w:val="ListParagraph"/>
        <w:numPr>
          <w:ilvl w:val="0"/>
          <w:numId w:val="24"/>
        </w:numPr>
        <w:spacing w:line="278" w:lineRule="auto"/>
        <w:rPr>
          <w:rFonts w:cs="Arial"/>
        </w:rPr>
      </w:pPr>
      <w:r w:rsidRPr="008C0374">
        <w:rPr>
          <w:rFonts w:cs="Arial"/>
        </w:rPr>
        <w:t xml:space="preserve">The state should take effective steps to ensure that people affected by substance use know and understand their rights, and that they are supported to claim those rights and secure an effective remedy when necessary. </w:t>
      </w:r>
    </w:p>
    <w:p w14:paraId="233A9662" w14:textId="77777777" w:rsidR="00227674" w:rsidRDefault="00227674" w:rsidP="00227674">
      <w:pPr>
        <w:pStyle w:val="ListParagraph"/>
        <w:numPr>
          <w:ilvl w:val="0"/>
          <w:numId w:val="24"/>
        </w:numPr>
        <w:spacing w:line="278" w:lineRule="auto"/>
        <w:rPr>
          <w:rFonts w:cs="Arial"/>
        </w:rPr>
      </w:pPr>
      <w:r w:rsidRPr="008C0374">
        <w:rPr>
          <w:rFonts w:cs="Arial"/>
        </w:rPr>
        <w:t>In this context, empowerment is interrelated with non-discrimination and the taking of effective measures to address stigma and self-stigmatisation. People affected by substance use will not be empowered to claim their rights or participate meaningfully in decisions affecting them while they are self-stigmatising or considering themselves to be less deserving of rights than other people.</w:t>
      </w:r>
    </w:p>
    <w:p w14:paraId="23DBAB96" w14:textId="77777777" w:rsidR="000A17DE" w:rsidRDefault="000A17DE" w:rsidP="00227674">
      <w:pPr>
        <w:rPr>
          <w:rFonts w:cs="Arial"/>
          <w:b/>
          <w:bCs/>
        </w:rPr>
      </w:pPr>
    </w:p>
    <w:p w14:paraId="19A7E427" w14:textId="7D118301" w:rsidR="00227674" w:rsidRPr="00EC60CC" w:rsidRDefault="00227674" w:rsidP="00227674">
      <w:pPr>
        <w:rPr>
          <w:rFonts w:cs="Arial"/>
          <w:b/>
          <w:bCs/>
        </w:rPr>
      </w:pPr>
      <w:r w:rsidRPr="00EC60CC">
        <w:rPr>
          <w:rFonts w:cs="Arial"/>
          <w:b/>
          <w:bCs/>
        </w:rPr>
        <w:t xml:space="preserve">Legality </w:t>
      </w:r>
    </w:p>
    <w:p w14:paraId="58E868A2" w14:textId="77777777" w:rsidR="00227674" w:rsidRDefault="00227674" w:rsidP="00227674">
      <w:pPr>
        <w:rPr>
          <w:rFonts w:cs="Arial"/>
        </w:rPr>
      </w:pPr>
      <w:r>
        <w:rPr>
          <w:rFonts w:cs="Arial"/>
        </w:rPr>
        <w:t>Definition:</w:t>
      </w:r>
    </w:p>
    <w:p w14:paraId="6702FF18" w14:textId="12FA88DB" w:rsidR="00227674" w:rsidRDefault="00227674" w:rsidP="00227674">
      <w:pPr>
        <w:pStyle w:val="ListParagraph"/>
        <w:numPr>
          <w:ilvl w:val="0"/>
          <w:numId w:val="24"/>
        </w:numPr>
      </w:pPr>
      <w:r w:rsidRPr="00A977AD">
        <w:t xml:space="preserve">The above principles should be grounded in the legal rights that are set out in national and international frameworks.  </w:t>
      </w:r>
    </w:p>
    <w:p w14:paraId="3E40302D" w14:textId="77777777" w:rsidR="000A17DE" w:rsidRDefault="00227674" w:rsidP="000A17DE">
      <w:pPr>
        <w:rPr>
          <w:rFonts w:cs="Arial"/>
          <w:b/>
          <w:bCs/>
        </w:rPr>
      </w:pPr>
      <w:r w:rsidRPr="00EC60CC">
        <w:rPr>
          <w:rFonts w:cs="Arial"/>
          <w:b/>
          <w:bCs/>
        </w:rPr>
        <w:t>Application to people affected by substance use:</w:t>
      </w:r>
    </w:p>
    <w:p w14:paraId="3A349A28" w14:textId="6E439EEB" w:rsidR="00227674" w:rsidRPr="000A17DE" w:rsidRDefault="00227674" w:rsidP="000A17DE">
      <w:pPr>
        <w:pStyle w:val="ListParagraph"/>
        <w:numPr>
          <w:ilvl w:val="0"/>
          <w:numId w:val="24"/>
        </w:numPr>
        <w:rPr>
          <w:rFonts w:cs="Arial"/>
          <w:b/>
          <w:bCs/>
        </w:rPr>
      </w:pPr>
      <w:r w:rsidRPr="000A17DE">
        <w:rPr>
          <w:rFonts w:cs="Arial"/>
        </w:rPr>
        <w:lastRenderedPageBreak/>
        <w:t xml:space="preserve">People affected by substance use have the same full range of rights as everyone else. </w:t>
      </w:r>
    </w:p>
    <w:p w14:paraId="506B46C5" w14:textId="77777777" w:rsidR="002C180E" w:rsidRDefault="002C180E" w:rsidP="00196AE5">
      <w:pPr>
        <w:pStyle w:val="Heading1"/>
        <w:rPr>
          <w:rFonts w:cs="Arial"/>
          <w:sz w:val="24"/>
          <w:szCs w:val="24"/>
        </w:rPr>
      </w:pPr>
      <w:bookmarkStart w:id="73" w:name="_Toc184287896"/>
      <w:bookmarkStart w:id="74" w:name="_Toc184287994"/>
      <w:bookmarkStart w:id="75" w:name="_Toc184288725"/>
      <w:bookmarkStart w:id="76" w:name="_Toc184288770"/>
      <w:bookmarkStart w:id="77" w:name="_Toc184291319"/>
      <w:bookmarkStart w:id="78" w:name="_Toc184298364"/>
      <w:bookmarkStart w:id="79" w:name="_Toc184298461"/>
    </w:p>
    <w:p w14:paraId="4570687D" w14:textId="21C9A96A" w:rsidR="003D1A49" w:rsidRPr="00C4787C" w:rsidRDefault="00990AE3" w:rsidP="00333AB6">
      <w:pPr>
        <w:pStyle w:val="Heading2"/>
        <w:rPr>
          <w:rFonts w:eastAsia="Times New Roman"/>
          <w:bCs/>
          <w:kern w:val="36"/>
          <w:lang w:eastAsia="en-GB"/>
          <w14:ligatures w14:val="none"/>
        </w:rPr>
      </w:pPr>
      <w:bookmarkStart w:id="80" w:name="_Section_3._Resources"/>
      <w:bookmarkEnd w:id="80"/>
      <w:r w:rsidRPr="00196AE5">
        <w:t xml:space="preserve">Section </w:t>
      </w:r>
      <w:r w:rsidR="000F26C2" w:rsidRPr="00196AE5">
        <w:t>3.</w:t>
      </w:r>
      <w:r w:rsidR="00014C2B" w:rsidRPr="00196AE5">
        <w:t xml:space="preserve"> </w:t>
      </w:r>
      <w:r w:rsidR="003E02BA" w:rsidRPr="00196AE5">
        <w:t>R</w:t>
      </w:r>
      <w:r w:rsidR="001B7ECB" w:rsidRPr="00196AE5">
        <w:t>esources</w:t>
      </w:r>
      <w:bookmarkEnd w:id="73"/>
      <w:bookmarkEnd w:id="74"/>
      <w:bookmarkEnd w:id="75"/>
      <w:bookmarkEnd w:id="76"/>
      <w:bookmarkEnd w:id="77"/>
      <w:bookmarkEnd w:id="78"/>
      <w:bookmarkEnd w:id="79"/>
    </w:p>
    <w:p w14:paraId="703C7972" w14:textId="77777777" w:rsidR="00396C24" w:rsidRPr="00A977AD" w:rsidRDefault="00396C24" w:rsidP="000F26C2">
      <w:pPr>
        <w:rPr>
          <w:rFonts w:cs="Arial"/>
          <w:b/>
          <w:bCs/>
          <w:sz w:val="24"/>
          <w:szCs w:val="24"/>
        </w:rPr>
      </w:pPr>
      <w:r w:rsidRPr="00A977AD">
        <w:rPr>
          <w:rFonts w:cs="Arial"/>
          <w:b/>
          <w:bCs/>
          <w:sz w:val="24"/>
          <w:szCs w:val="24"/>
        </w:rPr>
        <w:t>Scotland context</w:t>
      </w:r>
    </w:p>
    <w:p w14:paraId="797C5D8A" w14:textId="43C1200A" w:rsidR="00D92A4E" w:rsidRPr="00906A90" w:rsidRDefault="00D92A4E" w:rsidP="009B7EA4">
      <w:pPr>
        <w:pStyle w:val="ListParagraph"/>
        <w:numPr>
          <w:ilvl w:val="0"/>
          <w:numId w:val="25"/>
        </w:numPr>
        <w:ind w:left="714" w:hanging="357"/>
        <w:contextualSpacing w:val="0"/>
        <w:rPr>
          <w:szCs w:val="28"/>
        </w:rPr>
      </w:pPr>
      <w:r>
        <w:t xml:space="preserve">for more information on the Scottish Government’s National </w:t>
      </w:r>
      <w:r w:rsidRPr="00906A90">
        <w:rPr>
          <w:szCs w:val="28"/>
        </w:rPr>
        <w:t>Mission on Alcohol and Drugs</w:t>
      </w:r>
      <w:r w:rsidR="003C5555" w:rsidRPr="00906A90">
        <w:rPr>
          <w:szCs w:val="28"/>
        </w:rPr>
        <w:t xml:space="preserve"> visit </w:t>
      </w:r>
      <w:hyperlink r:id="rId11" w:history="1">
        <w:r w:rsidR="003C5555" w:rsidRPr="00906A90">
          <w:rPr>
            <w:rStyle w:val="Hyperlink"/>
            <w:rFonts w:cs="Arial"/>
            <w:szCs w:val="28"/>
          </w:rPr>
          <w:t>the National Mission page on the Scottish Government website.</w:t>
        </w:r>
      </w:hyperlink>
    </w:p>
    <w:p w14:paraId="0529F152" w14:textId="21C41255" w:rsidR="00180735" w:rsidRPr="00906A90" w:rsidRDefault="003C5555" w:rsidP="009B7EA4">
      <w:pPr>
        <w:pStyle w:val="ListParagraph"/>
        <w:numPr>
          <w:ilvl w:val="0"/>
          <w:numId w:val="25"/>
        </w:numPr>
        <w:ind w:left="714" w:hanging="357"/>
        <w:contextualSpacing w:val="0"/>
        <w:rPr>
          <w:szCs w:val="28"/>
        </w:rPr>
      </w:pPr>
      <w:r w:rsidRPr="00906A90">
        <w:rPr>
          <w:szCs w:val="28"/>
        </w:rPr>
        <w:t xml:space="preserve">For further information on the Misson Plan visit </w:t>
      </w:r>
      <w:hyperlink r:id="rId12" w:history="1">
        <w:r w:rsidRPr="00906A90">
          <w:rPr>
            <w:rStyle w:val="Hyperlink"/>
            <w:rFonts w:cs="Arial"/>
            <w:szCs w:val="28"/>
          </w:rPr>
          <w:t>the National Drugs Mission Plan 2022-2026 on the Scottish Government website.</w:t>
        </w:r>
      </w:hyperlink>
      <w:r w:rsidRPr="00906A90">
        <w:rPr>
          <w:szCs w:val="28"/>
        </w:rPr>
        <w:t xml:space="preserve"> </w:t>
      </w:r>
    </w:p>
    <w:p w14:paraId="6CCF7FBF" w14:textId="77777777" w:rsidR="003C5555" w:rsidRPr="003C5555" w:rsidRDefault="003C5555" w:rsidP="003C5555">
      <w:pPr>
        <w:pStyle w:val="ListParagraph"/>
        <w:rPr>
          <w:rFonts w:cs="Arial"/>
          <w:sz w:val="24"/>
          <w:szCs w:val="24"/>
        </w:rPr>
      </w:pPr>
    </w:p>
    <w:p w14:paraId="7ACEB659" w14:textId="3A22F2BF" w:rsidR="00C46860" w:rsidRDefault="00C46860" w:rsidP="009B7EA4">
      <w:pPr>
        <w:pStyle w:val="ListParagraph"/>
        <w:numPr>
          <w:ilvl w:val="0"/>
          <w:numId w:val="25"/>
        </w:numPr>
      </w:pPr>
      <w:r w:rsidRPr="00A977AD">
        <w:t>Scottish Government policy papers</w:t>
      </w:r>
    </w:p>
    <w:p w14:paraId="67174DC7" w14:textId="77777777" w:rsidR="00CC7AAB" w:rsidRPr="00CC7AAB" w:rsidRDefault="00CC7AAB" w:rsidP="00CC7AAB">
      <w:pPr>
        <w:pStyle w:val="ListParagraph"/>
        <w:rPr>
          <w:rFonts w:cs="Arial"/>
          <w:sz w:val="24"/>
          <w:szCs w:val="24"/>
        </w:rPr>
      </w:pPr>
    </w:p>
    <w:p w14:paraId="2651694A" w14:textId="0FE6E4E5" w:rsidR="00CC7AAB" w:rsidRPr="009B7EA4" w:rsidRDefault="00CC7AAB" w:rsidP="009B7EA4">
      <w:pPr>
        <w:pStyle w:val="ListParagraph"/>
        <w:numPr>
          <w:ilvl w:val="1"/>
          <w:numId w:val="2"/>
        </w:numPr>
        <w:contextualSpacing w:val="0"/>
        <w:rPr>
          <w:rFonts w:cs="Arial"/>
          <w:szCs w:val="28"/>
        </w:rPr>
      </w:pPr>
      <w:r w:rsidRPr="009B7EA4">
        <w:rPr>
          <w:rFonts w:cs="Arial"/>
          <w:szCs w:val="28"/>
        </w:rPr>
        <w:t xml:space="preserve">For more information on human rights informed drug policy in Scotland, </w:t>
      </w:r>
      <w:hyperlink r:id="rId13" w:history="1">
        <w:r w:rsidRPr="009B7EA4">
          <w:rPr>
            <w:rStyle w:val="Hyperlink"/>
            <w:rFonts w:cs="Arial"/>
            <w:szCs w:val="28"/>
          </w:rPr>
          <w:t>visit the Caring, compassionate and human rights informed drug policy for Scotland paper on the Scottish Government website</w:t>
        </w:r>
      </w:hyperlink>
      <w:r w:rsidRPr="009B7EA4">
        <w:rPr>
          <w:rFonts w:cs="Arial"/>
          <w:szCs w:val="28"/>
        </w:rPr>
        <w:t xml:space="preserve">. </w:t>
      </w:r>
    </w:p>
    <w:p w14:paraId="0511DD96" w14:textId="57485CA2" w:rsidR="001C7C04" w:rsidRPr="00FA5526" w:rsidRDefault="00CC7AAB" w:rsidP="009B7EA4">
      <w:pPr>
        <w:pStyle w:val="ListParagraph"/>
        <w:numPr>
          <w:ilvl w:val="0"/>
          <w:numId w:val="14"/>
        </w:numPr>
        <w:contextualSpacing w:val="0"/>
        <w:rPr>
          <w:rFonts w:cs="Arial"/>
          <w:color w:val="0000FF"/>
          <w:sz w:val="24"/>
          <w:szCs w:val="24"/>
          <w:u w:val="single"/>
        </w:rPr>
      </w:pPr>
      <w:r>
        <w:t xml:space="preserve">For more information on rights based recovery </w:t>
      </w:r>
      <w:hyperlink r:id="rId14" w:history="1">
        <w:r w:rsidRPr="00CC7AAB">
          <w:rPr>
            <w:rStyle w:val="Hyperlink"/>
          </w:rPr>
          <w:t xml:space="preserve">visit the Rights, respect and recovery: alcohol and drug treatment </w:t>
        </w:r>
        <w:proofErr w:type="spellStart"/>
        <w:r w:rsidRPr="00CC7AAB">
          <w:rPr>
            <w:rStyle w:val="Hyperlink"/>
          </w:rPr>
          <w:t>streategy</w:t>
        </w:r>
        <w:proofErr w:type="spellEnd"/>
        <w:r w:rsidRPr="00CC7AAB">
          <w:rPr>
            <w:rStyle w:val="Hyperlink"/>
          </w:rPr>
          <w:t xml:space="preserve"> paper on the Scottish Government website.</w:t>
        </w:r>
      </w:hyperlink>
      <w:r>
        <w:t xml:space="preserve"> </w:t>
      </w:r>
    </w:p>
    <w:p w14:paraId="29A29324" w14:textId="5E3212DE" w:rsidR="00C46860" w:rsidRPr="009B7EA4" w:rsidRDefault="00CC7AAB" w:rsidP="009B7EA4">
      <w:pPr>
        <w:pStyle w:val="ListParagraph"/>
        <w:numPr>
          <w:ilvl w:val="1"/>
          <w:numId w:val="24"/>
        </w:numPr>
        <w:contextualSpacing w:val="0"/>
        <w:rPr>
          <w:color w:val="0000FF"/>
          <w:szCs w:val="28"/>
          <w:u w:val="single"/>
        </w:rPr>
      </w:pPr>
      <w:r w:rsidRPr="009B7EA4">
        <w:rPr>
          <w:szCs w:val="28"/>
        </w:rPr>
        <w:t>For more information on the drugs deaths task force,</w:t>
      </w:r>
      <w:r w:rsidRPr="009B7EA4">
        <w:rPr>
          <w:szCs w:val="28"/>
          <w:u w:val="single"/>
        </w:rPr>
        <w:t xml:space="preserve"> </w:t>
      </w:r>
      <w:hyperlink r:id="rId15" w:history="1">
        <w:r w:rsidRPr="009B7EA4">
          <w:rPr>
            <w:rStyle w:val="Hyperlink"/>
            <w:rFonts w:cs="Arial"/>
            <w:szCs w:val="28"/>
          </w:rPr>
          <w:t xml:space="preserve">visit the </w:t>
        </w:r>
        <w:r w:rsidR="00C46860" w:rsidRPr="009B7EA4">
          <w:rPr>
            <w:rStyle w:val="Hyperlink"/>
            <w:rFonts w:cs="Arial"/>
            <w:szCs w:val="28"/>
          </w:rPr>
          <w:t>Drugs Deaths Taskforce Homepage</w:t>
        </w:r>
        <w:r w:rsidRPr="009B7EA4">
          <w:rPr>
            <w:rStyle w:val="Hyperlink"/>
            <w:rFonts w:cs="Arial"/>
            <w:szCs w:val="28"/>
          </w:rPr>
          <w:t xml:space="preserve"> on Know the Score website.</w:t>
        </w:r>
      </w:hyperlink>
      <w:r w:rsidRPr="009B7EA4">
        <w:rPr>
          <w:color w:val="0000FF"/>
          <w:szCs w:val="28"/>
          <w:u w:val="single"/>
        </w:rPr>
        <w:t xml:space="preserve"> </w:t>
      </w:r>
    </w:p>
    <w:p w14:paraId="34EDA700" w14:textId="77777777" w:rsidR="00CC7AAB" w:rsidRDefault="00CC7AAB" w:rsidP="00CC7AAB">
      <w:pPr>
        <w:rPr>
          <w:rFonts w:cs="Arial"/>
          <w:color w:val="0000FF"/>
          <w:sz w:val="24"/>
          <w:szCs w:val="24"/>
          <w:u w:val="single"/>
        </w:rPr>
      </w:pPr>
    </w:p>
    <w:p w14:paraId="45410E61" w14:textId="6DC8D877" w:rsidR="00CC7AAB" w:rsidRPr="00CC7AAB" w:rsidRDefault="00CC7AAB" w:rsidP="009B7EA4">
      <w:r w:rsidRPr="00CC7AAB">
        <w:t xml:space="preserve">National Collaborative information </w:t>
      </w:r>
    </w:p>
    <w:p w14:paraId="1F927F6C" w14:textId="68308B70" w:rsidR="00CC7AAB" w:rsidRPr="009B7EA4" w:rsidRDefault="00CC7AAB" w:rsidP="009B7EA4">
      <w:pPr>
        <w:pStyle w:val="ListParagraph"/>
        <w:numPr>
          <w:ilvl w:val="0"/>
          <w:numId w:val="29"/>
        </w:numPr>
        <w:ind w:left="714" w:hanging="357"/>
        <w:contextualSpacing w:val="0"/>
        <w:rPr>
          <w:rFonts w:cs="Arial"/>
          <w:szCs w:val="28"/>
          <w:u w:val="single"/>
        </w:rPr>
      </w:pPr>
      <w:r w:rsidRPr="009B7EA4">
        <w:rPr>
          <w:rFonts w:cs="Arial"/>
          <w:szCs w:val="28"/>
        </w:rPr>
        <w:t xml:space="preserve">For more information on the </w:t>
      </w:r>
      <w:r w:rsidR="006648D2" w:rsidRPr="009B7EA4">
        <w:rPr>
          <w:rFonts w:cs="Arial"/>
          <w:szCs w:val="28"/>
        </w:rPr>
        <w:t>National Collaborative</w:t>
      </w:r>
      <w:r w:rsidRPr="009B7EA4">
        <w:rPr>
          <w:rFonts w:cs="Arial"/>
          <w:szCs w:val="28"/>
        </w:rPr>
        <w:t xml:space="preserve">’s Roadmap, </w:t>
      </w:r>
      <w:hyperlink r:id="rId16" w:history="1">
        <w:r w:rsidRPr="009B7EA4">
          <w:rPr>
            <w:rStyle w:val="Hyperlink"/>
            <w:rFonts w:cs="Arial"/>
            <w:szCs w:val="28"/>
          </w:rPr>
          <w:t xml:space="preserve">visit </w:t>
        </w:r>
        <w:r w:rsidR="004C6214" w:rsidRPr="009B7EA4">
          <w:rPr>
            <w:rStyle w:val="Hyperlink"/>
            <w:rFonts w:cs="Arial"/>
            <w:szCs w:val="28"/>
          </w:rPr>
          <w:t>the National Collaborative overview page on the ALLIANCE website.</w:t>
        </w:r>
      </w:hyperlink>
      <w:r w:rsidR="004C6214" w:rsidRPr="009B7EA4">
        <w:rPr>
          <w:rFonts w:cs="Arial"/>
          <w:szCs w:val="28"/>
        </w:rPr>
        <w:t xml:space="preserve"> </w:t>
      </w:r>
    </w:p>
    <w:p w14:paraId="2A88B38A" w14:textId="36A57698" w:rsidR="00CC7AAB" w:rsidRPr="009B7EA4" w:rsidRDefault="00CC7AAB" w:rsidP="009B7EA4">
      <w:pPr>
        <w:pStyle w:val="ListParagraph"/>
        <w:numPr>
          <w:ilvl w:val="0"/>
          <w:numId w:val="28"/>
        </w:numPr>
        <w:ind w:left="714" w:hanging="357"/>
        <w:contextualSpacing w:val="0"/>
        <w:rPr>
          <w:rFonts w:cs="Arial"/>
          <w:szCs w:val="28"/>
          <w:u w:val="single"/>
        </w:rPr>
      </w:pPr>
      <w:r w:rsidRPr="009B7EA4">
        <w:rPr>
          <w:rFonts w:cs="Arial"/>
          <w:szCs w:val="28"/>
        </w:rPr>
        <w:t>For more information on the National Collaborative’s Analysis Report on evidence gathering</w:t>
      </w:r>
      <w:r w:rsidR="00BA6DD9" w:rsidRPr="009B7EA4">
        <w:rPr>
          <w:rFonts w:cs="Arial"/>
          <w:szCs w:val="28"/>
        </w:rPr>
        <w:t xml:space="preserve">, </w:t>
      </w:r>
      <w:hyperlink r:id="rId17" w:history="1">
        <w:r w:rsidR="00BA6DD9" w:rsidRPr="009B7EA4">
          <w:rPr>
            <w:rStyle w:val="Hyperlink"/>
            <w:rFonts w:cs="Arial"/>
            <w:szCs w:val="28"/>
          </w:rPr>
          <w:t>visit</w:t>
        </w:r>
        <w:r w:rsidR="00AF7D95" w:rsidRPr="009B7EA4">
          <w:rPr>
            <w:rStyle w:val="Hyperlink"/>
            <w:rFonts w:cs="Arial"/>
            <w:szCs w:val="28"/>
          </w:rPr>
          <w:t xml:space="preserve"> the Call for Evidence Findings page on the ALLIANCE website.</w:t>
        </w:r>
      </w:hyperlink>
      <w:r w:rsidR="00AF7D95" w:rsidRPr="009B7EA4">
        <w:rPr>
          <w:rFonts w:cs="Arial"/>
          <w:szCs w:val="28"/>
        </w:rPr>
        <w:t xml:space="preserve"> </w:t>
      </w:r>
    </w:p>
    <w:p w14:paraId="132AF139" w14:textId="768905CB" w:rsidR="00CC7AAB" w:rsidRPr="009B7EA4" w:rsidRDefault="00CC7AAB" w:rsidP="009B7EA4">
      <w:pPr>
        <w:pStyle w:val="ListParagraph"/>
        <w:numPr>
          <w:ilvl w:val="0"/>
          <w:numId w:val="28"/>
        </w:numPr>
        <w:ind w:left="714" w:hanging="357"/>
        <w:contextualSpacing w:val="0"/>
        <w:rPr>
          <w:rFonts w:cs="Arial"/>
          <w:szCs w:val="28"/>
          <w:u w:val="single"/>
        </w:rPr>
      </w:pPr>
      <w:r w:rsidRPr="009B7EA4">
        <w:rPr>
          <w:rFonts w:cs="Arial"/>
          <w:szCs w:val="28"/>
        </w:rPr>
        <w:t>For more information on the Draft outline of a Charter or Rights</w:t>
      </w:r>
      <w:r w:rsidR="00AF7D95" w:rsidRPr="009B7EA4">
        <w:rPr>
          <w:rFonts w:cs="Arial"/>
          <w:szCs w:val="28"/>
        </w:rPr>
        <w:t xml:space="preserve"> please</w:t>
      </w:r>
      <w:r w:rsidR="00EC159B" w:rsidRPr="009B7EA4">
        <w:rPr>
          <w:rFonts w:cs="Arial"/>
          <w:szCs w:val="28"/>
        </w:rPr>
        <w:t>,</w:t>
      </w:r>
      <w:r w:rsidR="00AF7D95" w:rsidRPr="009B7EA4">
        <w:rPr>
          <w:rFonts w:cs="Arial"/>
          <w:szCs w:val="28"/>
        </w:rPr>
        <w:t xml:space="preserve"> </w:t>
      </w:r>
      <w:hyperlink r:id="rId18" w:history="1">
        <w:r w:rsidR="00AF7D95" w:rsidRPr="009B7EA4">
          <w:rPr>
            <w:rStyle w:val="Hyperlink"/>
            <w:rFonts w:cs="Arial"/>
            <w:szCs w:val="28"/>
          </w:rPr>
          <w:t>visit the Draft Charter page on the ALLIANCE website.</w:t>
        </w:r>
      </w:hyperlink>
      <w:r w:rsidR="00AF7D95" w:rsidRPr="009B7EA4">
        <w:rPr>
          <w:rFonts w:cs="Arial"/>
          <w:szCs w:val="28"/>
        </w:rPr>
        <w:t xml:space="preserve"> </w:t>
      </w:r>
    </w:p>
    <w:p w14:paraId="2316DAEC" w14:textId="77777777" w:rsidR="00CC7AAB" w:rsidRPr="00AF7D95" w:rsidRDefault="00CC7AAB" w:rsidP="00AF7D95">
      <w:pPr>
        <w:pStyle w:val="ListParagraph"/>
        <w:rPr>
          <w:rFonts w:cs="Arial"/>
          <w:sz w:val="24"/>
          <w:szCs w:val="24"/>
          <w:u w:val="single"/>
        </w:rPr>
      </w:pPr>
    </w:p>
    <w:p w14:paraId="670E5965" w14:textId="1567A415" w:rsidR="00C46860" w:rsidRPr="00EC159B" w:rsidRDefault="000C1576" w:rsidP="009B7EA4">
      <w:r w:rsidRPr="00EC159B">
        <w:lastRenderedPageBreak/>
        <w:t xml:space="preserve">Proposed </w:t>
      </w:r>
      <w:r w:rsidR="00900CE8" w:rsidRPr="00EC159B">
        <w:t xml:space="preserve">Scottish Human Rights Bill </w:t>
      </w:r>
    </w:p>
    <w:p w14:paraId="65D904F2" w14:textId="6E377624" w:rsidR="00515E4A" w:rsidRPr="00EC159B" w:rsidRDefault="00EC159B" w:rsidP="009B7EA4">
      <w:pPr>
        <w:pStyle w:val="ListParagraph"/>
        <w:numPr>
          <w:ilvl w:val="0"/>
          <w:numId w:val="22"/>
        </w:numPr>
        <w:ind w:left="782" w:hanging="357"/>
        <w:contextualSpacing w:val="0"/>
        <w:rPr>
          <w:rFonts w:cs="Arial"/>
          <w:color w:val="0000FF"/>
          <w:sz w:val="24"/>
          <w:szCs w:val="24"/>
        </w:rPr>
      </w:pPr>
      <w:r>
        <w:t xml:space="preserve">For </w:t>
      </w:r>
      <w:r w:rsidR="00B06185">
        <w:t xml:space="preserve">more information on the proposed Scottish Human Rights Bill </w:t>
      </w:r>
      <w:hyperlink r:id="rId19" w:history="1">
        <w:r w:rsidR="00B06185" w:rsidRPr="007B6180">
          <w:rPr>
            <w:rStyle w:val="Hyperlink"/>
          </w:rPr>
          <w:t>visit</w:t>
        </w:r>
        <w:r w:rsidR="007B6180" w:rsidRPr="007B6180">
          <w:rPr>
            <w:rStyle w:val="Hyperlink"/>
          </w:rPr>
          <w:t xml:space="preserve"> the Human Rights Bill: Consultation guide page on the Scottish Governments website</w:t>
        </w:r>
      </w:hyperlink>
      <w:r w:rsidR="007B6180">
        <w:t xml:space="preserve">. </w:t>
      </w:r>
    </w:p>
    <w:p w14:paraId="61AB4B99" w14:textId="2AE32E63" w:rsidR="00017245" w:rsidRDefault="007B6180" w:rsidP="009B7EA4">
      <w:pPr>
        <w:pStyle w:val="ListParagraph"/>
        <w:numPr>
          <w:ilvl w:val="0"/>
          <w:numId w:val="22"/>
        </w:numPr>
        <w:ind w:left="782" w:hanging="357"/>
        <w:contextualSpacing w:val="0"/>
        <w:rPr>
          <w:rFonts w:cs="Arial"/>
          <w:sz w:val="24"/>
          <w:szCs w:val="24"/>
        </w:rPr>
      </w:pPr>
      <w:r>
        <w:t>For more information on th</w:t>
      </w:r>
      <w:r w:rsidR="00785B82">
        <w:t xml:space="preserve">e content of the proposed human rights bill, visit </w:t>
      </w:r>
      <w:hyperlink r:id="rId20" w:history="1">
        <w:r w:rsidR="00785B82" w:rsidRPr="009B7EA4">
          <w:rPr>
            <w:rStyle w:val="Hyperlink"/>
            <w:szCs w:val="28"/>
          </w:rPr>
          <w:t>this paper written by</w:t>
        </w:r>
        <w:r w:rsidR="00017245" w:rsidRPr="009B7EA4">
          <w:rPr>
            <w:rStyle w:val="Hyperlink"/>
            <w:szCs w:val="28"/>
          </w:rPr>
          <w:t xml:space="preserve"> Professor Katie Boyle entitled</w:t>
        </w:r>
        <w:r w:rsidR="00785B82" w:rsidRPr="009B7EA4">
          <w:rPr>
            <w:rStyle w:val="Hyperlink"/>
            <w:szCs w:val="28"/>
          </w:rPr>
          <w:t xml:space="preserve"> </w:t>
        </w:r>
        <w:r w:rsidR="00E65C98" w:rsidRPr="009B7EA4">
          <w:rPr>
            <w:rStyle w:val="Hyperlink"/>
            <w:rFonts w:cs="Arial"/>
            <w:szCs w:val="28"/>
          </w:rPr>
          <w:t>The Meaning and Content of Duties to be Considered for Inclusion in the Bill</w:t>
        </w:r>
      </w:hyperlink>
      <w:r w:rsidR="00785B82" w:rsidRPr="009B7EA4">
        <w:rPr>
          <w:szCs w:val="28"/>
        </w:rPr>
        <w:t xml:space="preserve"> w</w:t>
      </w:r>
      <w:r w:rsidR="00017245" w:rsidRPr="009B7EA4">
        <w:rPr>
          <w:rFonts w:cs="Arial"/>
          <w:szCs w:val="28"/>
        </w:rPr>
        <w:t xml:space="preserve">ritten </w:t>
      </w:r>
      <w:r w:rsidR="00785B82" w:rsidRPr="009B7EA4">
        <w:rPr>
          <w:rFonts w:cs="Arial"/>
          <w:szCs w:val="28"/>
        </w:rPr>
        <w:t xml:space="preserve">for the </w:t>
      </w:r>
      <w:r w:rsidR="00E65C98" w:rsidRPr="009B7EA4">
        <w:rPr>
          <w:rFonts w:cs="Arial"/>
          <w:szCs w:val="28"/>
        </w:rPr>
        <w:t>Academic Advisory Panel to the National Taskforce for Human Rights Leadership</w:t>
      </w:r>
    </w:p>
    <w:p w14:paraId="2DB184DD" w14:textId="77777777" w:rsidR="00C4787C" w:rsidRDefault="00C4787C" w:rsidP="00591C65">
      <w:pPr>
        <w:rPr>
          <w:rFonts w:cs="Arial"/>
          <w:sz w:val="24"/>
          <w:szCs w:val="24"/>
        </w:rPr>
      </w:pPr>
    </w:p>
    <w:p w14:paraId="6EB08BCA" w14:textId="65EF703B" w:rsidR="00591C65" w:rsidRPr="009B7EA4" w:rsidRDefault="00591C65" w:rsidP="009B7EA4">
      <w:pPr>
        <w:rPr>
          <w:b/>
          <w:bCs/>
        </w:rPr>
      </w:pPr>
      <w:r w:rsidRPr="009B7EA4">
        <w:rPr>
          <w:b/>
          <w:bCs/>
        </w:rPr>
        <w:t>UK legislative context</w:t>
      </w:r>
    </w:p>
    <w:p w14:paraId="59782A45" w14:textId="7863A16A" w:rsidR="00591C65" w:rsidRPr="00A977AD" w:rsidRDefault="00FE795F" w:rsidP="009B7EA4">
      <w:pPr>
        <w:pStyle w:val="ListParagraph"/>
        <w:numPr>
          <w:ilvl w:val="0"/>
          <w:numId w:val="30"/>
        </w:numPr>
        <w:ind w:left="714" w:hanging="357"/>
        <w:contextualSpacing w:val="0"/>
      </w:pPr>
      <w:r>
        <w:t xml:space="preserve">To view the </w:t>
      </w:r>
      <w:r w:rsidR="00591C65" w:rsidRPr="00A977AD">
        <w:t>Human Rights</w:t>
      </w:r>
      <w:r>
        <w:t xml:space="preserve"> </w:t>
      </w:r>
      <w:r w:rsidR="00591C65" w:rsidRPr="00A977AD">
        <w:t xml:space="preserve">Act </w:t>
      </w:r>
      <w:r>
        <w:t xml:space="preserve">visit </w:t>
      </w:r>
      <w:hyperlink r:id="rId21" w:history="1">
        <w:r w:rsidRPr="009B7EA4">
          <w:rPr>
            <w:rStyle w:val="Hyperlink"/>
            <w:rFonts w:cs="Arial"/>
            <w:sz w:val="24"/>
            <w:szCs w:val="24"/>
          </w:rPr>
          <w:t>the Human Rights Act 1998 on the UK Legislation website.</w:t>
        </w:r>
      </w:hyperlink>
      <w:r>
        <w:t xml:space="preserve"> </w:t>
      </w:r>
    </w:p>
    <w:p w14:paraId="71FA8ACE" w14:textId="130E8A50" w:rsidR="00591C65" w:rsidRPr="00A977AD" w:rsidRDefault="00FE795F" w:rsidP="009B7EA4">
      <w:pPr>
        <w:pStyle w:val="ListParagraph"/>
        <w:numPr>
          <w:ilvl w:val="0"/>
          <w:numId w:val="30"/>
        </w:numPr>
        <w:ind w:left="714" w:hanging="357"/>
        <w:contextualSpacing w:val="0"/>
      </w:pPr>
      <w:r>
        <w:t xml:space="preserve">To view the </w:t>
      </w:r>
      <w:r w:rsidR="00591C65" w:rsidRPr="00A977AD">
        <w:t>Misuse of Drugs Act</w:t>
      </w:r>
      <w:r>
        <w:t xml:space="preserve"> visit </w:t>
      </w:r>
      <w:hyperlink r:id="rId22" w:history="1">
        <w:r w:rsidRPr="009B7EA4">
          <w:rPr>
            <w:rStyle w:val="Hyperlink"/>
            <w:rFonts w:cs="Arial"/>
            <w:sz w:val="24"/>
            <w:szCs w:val="24"/>
          </w:rPr>
          <w:t>the Misuse Drugs Act 1971 on the UK Legislation website</w:t>
        </w:r>
      </w:hyperlink>
      <w:r>
        <w:t xml:space="preserve">. </w:t>
      </w:r>
    </w:p>
    <w:p w14:paraId="29F7DA8F" w14:textId="2FDCCAAC" w:rsidR="00591C65" w:rsidRPr="009B7EA4" w:rsidRDefault="00591C65" w:rsidP="00E07B6C">
      <w:pPr>
        <w:pStyle w:val="ListParagraph"/>
        <w:ind w:left="790"/>
        <w:rPr>
          <w:rFonts w:cs="Arial"/>
          <w:b/>
          <w:bCs/>
          <w:sz w:val="24"/>
          <w:szCs w:val="24"/>
        </w:rPr>
      </w:pPr>
    </w:p>
    <w:p w14:paraId="76F7D125" w14:textId="6EFAE388" w:rsidR="00591C65" w:rsidRPr="009B7EA4" w:rsidRDefault="00591C65" w:rsidP="009B7EA4">
      <w:pPr>
        <w:rPr>
          <w:b/>
          <w:bCs/>
        </w:rPr>
      </w:pPr>
      <w:r w:rsidRPr="009B7EA4">
        <w:rPr>
          <w:b/>
          <w:bCs/>
        </w:rPr>
        <w:t>European context</w:t>
      </w:r>
    </w:p>
    <w:p w14:paraId="0EFEDF15" w14:textId="7E05B3F6" w:rsidR="00D7099B" w:rsidRPr="00D7099B" w:rsidRDefault="00FE795F" w:rsidP="009B7EA4">
      <w:pPr>
        <w:pStyle w:val="ListParagraph"/>
        <w:numPr>
          <w:ilvl w:val="0"/>
          <w:numId w:val="31"/>
        </w:numPr>
        <w:contextualSpacing w:val="0"/>
      </w:pPr>
      <w:r>
        <w:t xml:space="preserve">For more information on the </w:t>
      </w:r>
      <w:r w:rsidR="00591C65" w:rsidRPr="00515E4A">
        <w:t>European Convention on Human Rights</w:t>
      </w:r>
      <w:r>
        <w:t xml:space="preserve">, </w:t>
      </w:r>
      <w:hyperlink r:id="rId23" w:history="1">
        <w:r w:rsidRPr="009B7EA4">
          <w:rPr>
            <w:rStyle w:val="Hyperlink"/>
            <w:rFonts w:cs="Arial"/>
            <w:szCs w:val="28"/>
          </w:rPr>
          <w:t>visit the European Convention on human rights on the Council of Europe website.</w:t>
        </w:r>
      </w:hyperlink>
      <w:r>
        <w:t xml:space="preserve"> </w:t>
      </w:r>
    </w:p>
    <w:p w14:paraId="0F2F5676" w14:textId="4B9BE4C8" w:rsidR="007C1C0A" w:rsidRPr="009B7EA4" w:rsidRDefault="007C1C0A" w:rsidP="009B7EA4">
      <w:pPr>
        <w:pStyle w:val="ListParagraph"/>
        <w:numPr>
          <w:ilvl w:val="0"/>
          <w:numId w:val="31"/>
        </w:numPr>
        <w:contextualSpacing w:val="0"/>
        <w:rPr>
          <w:color w:val="000000"/>
          <w:kern w:val="0"/>
          <w:szCs w:val="28"/>
          <w14:ligatures w14:val="none"/>
        </w:rPr>
      </w:pPr>
      <w:r w:rsidRPr="009B7EA4">
        <w:rPr>
          <w:color w:val="000000"/>
          <w:kern w:val="0"/>
          <w14:ligatures w14:val="none"/>
        </w:rPr>
        <w:t xml:space="preserve">To view the Council of Europe’s human rights in drug policy </w:t>
      </w:r>
      <w:proofErr w:type="spellStart"/>
      <w:r w:rsidRPr="009B7EA4">
        <w:rPr>
          <w:color w:val="000000"/>
          <w:kern w:val="0"/>
          <w14:ligatures w14:val="none"/>
        </w:rPr>
        <w:t>self assessment</w:t>
      </w:r>
      <w:proofErr w:type="spellEnd"/>
      <w:r w:rsidRPr="009B7EA4">
        <w:rPr>
          <w:color w:val="000000"/>
          <w:kern w:val="0"/>
          <w14:ligatures w14:val="none"/>
        </w:rPr>
        <w:t xml:space="preserve"> tool, </w:t>
      </w:r>
      <w:hyperlink r:id="rId24" w:history="1">
        <w:r w:rsidRPr="009B7EA4">
          <w:rPr>
            <w:rStyle w:val="Hyperlink"/>
            <w:rFonts w:cs="Arial"/>
            <w:kern w:val="0"/>
            <w:szCs w:val="28"/>
            <w14:ligatures w14:val="none"/>
          </w:rPr>
          <w:t xml:space="preserve">visit the Human Rights in Drug Policy: A </w:t>
        </w:r>
        <w:proofErr w:type="spellStart"/>
        <w:r w:rsidRPr="009B7EA4">
          <w:rPr>
            <w:rStyle w:val="Hyperlink"/>
            <w:rFonts w:cs="Arial"/>
            <w:kern w:val="0"/>
            <w:szCs w:val="28"/>
            <w14:ligatures w14:val="none"/>
          </w:rPr>
          <w:t>Self Assessment</w:t>
        </w:r>
        <w:proofErr w:type="spellEnd"/>
        <w:r w:rsidRPr="009B7EA4">
          <w:rPr>
            <w:rStyle w:val="Hyperlink"/>
            <w:rFonts w:cs="Arial"/>
            <w:kern w:val="0"/>
            <w:szCs w:val="28"/>
            <w14:ligatures w14:val="none"/>
          </w:rPr>
          <w:t xml:space="preserve"> tool on the Council of Europe webpage</w:t>
        </w:r>
      </w:hyperlink>
      <w:r w:rsidRPr="009B7EA4">
        <w:rPr>
          <w:color w:val="000000"/>
          <w:kern w:val="0"/>
          <w:szCs w:val="28"/>
          <w14:ligatures w14:val="none"/>
        </w:rPr>
        <w:t xml:space="preserve">. </w:t>
      </w:r>
    </w:p>
    <w:p w14:paraId="2614A930" w14:textId="77777777" w:rsidR="007C1C0A" w:rsidRPr="007C1C0A" w:rsidRDefault="007C1C0A" w:rsidP="007C1C0A">
      <w:pPr>
        <w:pStyle w:val="ListParagraph"/>
        <w:rPr>
          <w:rFonts w:cs="Arial"/>
          <w:color w:val="000000"/>
          <w:sz w:val="24"/>
          <w:szCs w:val="24"/>
        </w:rPr>
      </w:pPr>
    </w:p>
    <w:p w14:paraId="05D26C6B" w14:textId="763FA54E" w:rsidR="00396C24" w:rsidRPr="009B7EA4" w:rsidRDefault="00396C24" w:rsidP="009B7EA4">
      <w:pPr>
        <w:rPr>
          <w:b/>
          <w:bCs/>
        </w:rPr>
      </w:pPr>
      <w:r w:rsidRPr="009B7EA4">
        <w:rPr>
          <w:b/>
          <w:bCs/>
        </w:rPr>
        <w:t>International context</w:t>
      </w:r>
    </w:p>
    <w:p w14:paraId="2777B924" w14:textId="142FBCBF" w:rsidR="00A7315E" w:rsidRPr="009B7EA4" w:rsidRDefault="0089411F" w:rsidP="009B7EA4">
      <w:pPr>
        <w:pStyle w:val="ListParagraph"/>
        <w:numPr>
          <w:ilvl w:val="0"/>
          <w:numId w:val="32"/>
        </w:numPr>
        <w:ind w:left="714" w:hanging="357"/>
        <w:contextualSpacing w:val="0"/>
        <w:rPr>
          <w:szCs w:val="28"/>
        </w:rPr>
      </w:pPr>
      <w:r w:rsidRPr="009B7EA4">
        <w:rPr>
          <w:szCs w:val="28"/>
        </w:rPr>
        <w:t xml:space="preserve">For an overview of the international </w:t>
      </w:r>
      <w:r w:rsidR="00D8325F" w:rsidRPr="009B7EA4">
        <w:rPr>
          <w:szCs w:val="28"/>
        </w:rPr>
        <w:t xml:space="preserve">context visit </w:t>
      </w:r>
      <w:hyperlink r:id="rId25" w:history="1">
        <w:r w:rsidR="00D8325F" w:rsidRPr="009B7EA4">
          <w:rPr>
            <w:rStyle w:val="Hyperlink"/>
            <w:rFonts w:cs="Arial"/>
            <w:szCs w:val="28"/>
          </w:rPr>
          <w:t>the UN Common Position on Drugs on the United Nations website</w:t>
        </w:r>
      </w:hyperlink>
      <w:r w:rsidR="00D8325F" w:rsidRPr="009B7EA4">
        <w:rPr>
          <w:szCs w:val="28"/>
        </w:rPr>
        <w:t xml:space="preserve">. </w:t>
      </w:r>
    </w:p>
    <w:p w14:paraId="37816DDD" w14:textId="7FB22CB7" w:rsidR="00D8325F" w:rsidRPr="009B7EA4" w:rsidRDefault="00D8325F" w:rsidP="009B7EA4">
      <w:pPr>
        <w:pStyle w:val="ListParagraph"/>
        <w:numPr>
          <w:ilvl w:val="0"/>
          <w:numId w:val="32"/>
        </w:numPr>
        <w:ind w:left="714" w:hanging="357"/>
        <w:contextualSpacing w:val="0"/>
        <w:rPr>
          <w:color w:val="000000"/>
          <w:szCs w:val="28"/>
        </w:rPr>
      </w:pPr>
      <w:r w:rsidRPr="009B7EA4">
        <w:rPr>
          <w:szCs w:val="28"/>
        </w:rPr>
        <w:t xml:space="preserve">For a critical perspective on internation drugs policy visit </w:t>
      </w:r>
      <w:hyperlink r:id="rId26" w:history="1">
        <w:r w:rsidRPr="009B7EA4">
          <w:rPr>
            <w:rStyle w:val="Hyperlink"/>
            <w:rFonts w:cs="Arial"/>
            <w:szCs w:val="28"/>
          </w:rPr>
          <w:t>the paper entitled Converging universes: 20 years of human rights and drug policy at the United Nations on the Internation Drug Policy Consortium website</w:t>
        </w:r>
      </w:hyperlink>
      <w:r w:rsidRPr="009B7EA4">
        <w:rPr>
          <w:szCs w:val="28"/>
        </w:rPr>
        <w:t xml:space="preserve">. </w:t>
      </w:r>
    </w:p>
    <w:p w14:paraId="36CA2DE6" w14:textId="445AE43C" w:rsidR="00DA0116" w:rsidRPr="009B7EA4" w:rsidRDefault="00D8325F" w:rsidP="009B7EA4">
      <w:pPr>
        <w:pStyle w:val="ListParagraph"/>
        <w:numPr>
          <w:ilvl w:val="0"/>
          <w:numId w:val="32"/>
        </w:numPr>
        <w:ind w:left="714" w:hanging="357"/>
        <w:contextualSpacing w:val="0"/>
        <w:rPr>
          <w:szCs w:val="28"/>
        </w:rPr>
      </w:pPr>
      <w:r w:rsidRPr="009B7EA4">
        <w:rPr>
          <w:szCs w:val="28"/>
        </w:rPr>
        <w:t>For a</w:t>
      </w:r>
      <w:r w:rsidR="002F7D52" w:rsidRPr="009B7EA4">
        <w:rPr>
          <w:szCs w:val="28"/>
        </w:rPr>
        <w:t xml:space="preserve">uthoritative guidance on the application of human rights in the context of substance use, </w:t>
      </w:r>
      <w:hyperlink r:id="rId27" w:history="1">
        <w:r w:rsidRPr="009B7EA4">
          <w:rPr>
            <w:rStyle w:val="Hyperlink"/>
            <w:rFonts w:cs="Arial"/>
            <w:szCs w:val="28"/>
          </w:rPr>
          <w:t xml:space="preserve">visit </w:t>
        </w:r>
        <w:r w:rsidR="00D84BBC" w:rsidRPr="009B7EA4">
          <w:rPr>
            <w:rStyle w:val="Hyperlink"/>
            <w:rFonts w:cs="Arial"/>
            <w:szCs w:val="28"/>
          </w:rPr>
          <w:t xml:space="preserve">The International Guidelines on </w:t>
        </w:r>
        <w:r w:rsidR="00D84BBC" w:rsidRPr="009B7EA4">
          <w:rPr>
            <w:rStyle w:val="Hyperlink"/>
            <w:rFonts w:cs="Arial"/>
            <w:szCs w:val="28"/>
          </w:rPr>
          <w:lastRenderedPageBreak/>
          <w:t xml:space="preserve">Human Rights and </w:t>
        </w:r>
        <w:r w:rsidR="00B63B53" w:rsidRPr="009B7EA4">
          <w:rPr>
            <w:rStyle w:val="Hyperlink"/>
            <w:rFonts w:cs="Arial"/>
            <w:szCs w:val="28"/>
          </w:rPr>
          <w:t>Drug</w:t>
        </w:r>
        <w:r w:rsidR="00D84BBC" w:rsidRPr="009B7EA4">
          <w:rPr>
            <w:rStyle w:val="Hyperlink"/>
            <w:rFonts w:cs="Arial"/>
            <w:szCs w:val="28"/>
          </w:rPr>
          <w:t xml:space="preserve"> Policy, March 2019</w:t>
        </w:r>
        <w:r w:rsidR="006A7810" w:rsidRPr="009B7EA4">
          <w:rPr>
            <w:rStyle w:val="Hyperlink"/>
            <w:rFonts w:cs="Arial"/>
            <w:szCs w:val="28"/>
          </w:rPr>
          <w:t xml:space="preserve"> </w:t>
        </w:r>
        <w:r w:rsidRPr="009B7EA4">
          <w:rPr>
            <w:rStyle w:val="Hyperlink"/>
            <w:rFonts w:cs="Arial"/>
            <w:szCs w:val="28"/>
          </w:rPr>
          <w:t>on the human rights drug policy website</w:t>
        </w:r>
      </w:hyperlink>
      <w:r w:rsidRPr="009B7EA4">
        <w:rPr>
          <w:szCs w:val="28"/>
        </w:rPr>
        <w:t xml:space="preserve">. </w:t>
      </w:r>
      <w:r w:rsidR="00DA0116" w:rsidRPr="009B7EA4">
        <w:rPr>
          <w:szCs w:val="28"/>
        </w:rPr>
        <w:t xml:space="preserve">                        </w:t>
      </w:r>
    </w:p>
    <w:p w14:paraId="1A0BFC15" w14:textId="7F16F475" w:rsidR="00D8325F" w:rsidRPr="00D8325F" w:rsidRDefault="00D8325F" w:rsidP="009B7EA4">
      <w:pPr>
        <w:pStyle w:val="ListParagraph"/>
        <w:numPr>
          <w:ilvl w:val="0"/>
          <w:numId w:val="32"/>
        </w:numPr>
        <w:ind w:left="714" w:hanging="357"/>
        <w:contextualSpacing w:val="0"/>
      </w:pPr>
      <w:r>
        <w:t xml:space="preserve">For more information on economic, social and cultural rights including the rights to health, </w:t>
      </w:r>
      <w:hyperlink r:id="rId28" w:anchor="Part%20II" w:history="1">
        <w:r w:rsidRPr="00D8325F">
          <w:rPr>
            <w:rStyle w:val="Hyperlink"/>
          </w:rPr>
          <w:t>visit the ICESCR Internation Covenant available on the United Nations Office of the High Commissioner office for Human Rights.</w:t>
        </w:r>
      </w:hyperlink>
      <w:r>
        <w:t xml:space="preserve"> </w:t>
      </w:r>
    </w:p>
    <w:p w14:paraId="0A44F49E" w14:textId="77777777" w:rsidR="00D8325F" w:rsidRPr="00D8325F" w:rsidRDefault="00D8325F" w:rsidP="00D8325F">
      <w:pPr>
        <w:pStyle w:val="ListParagraph"/>
        <w:rPr>
          <w:rFonts w:cs="Arial"/>
          <w:sz w:val="24"/>
          <w:szCs w:val="24"/>
        </w:rPr>
      </w:pPr>
    </w:p>
    <w:p w14:paraId="68BB6DA1" w14:textId="77777777" w:rsidR="00D8325F" w:rsidRPr="009B7EA4" w:rsidRDefault="00D8325F" w:rsidP="009B7EA4">
      <w:pPr>
        <w:rPr>
          <w:sz w:val="32"/>
          <w:szCs w:val="24"/>
        </w:rPr>
      </w:pPr>
    </w:p>
    <w:p w14:paraId="68D4959E" w14:textId="4B391A86" w:rsidR="000800E8" w:rsidRPr="009B7EA4" w:rsidRDefault="00D8325F" w:rsidP="009B7EA4">
      <w:pPr>
        <w:rPr>
          <w:rFonts w:cs="Arial"/>
          <w:b/>
          <w:bCs/>
          <w:szCs w:val="28"/>
        </w:rPr>
      </w:pPr>
      <w:r w:rsidRPr="009B7EA4">
        <w:rPr>
          <w:sz w:val="32"/>
          <w:szCs w:val="24"/>
        </w:rPr>
        <w:t xml:space="preserve"> </w:t>
      </w:r>
      <w:r w:rsidR="000800E8" w:rsidRPr="009B7EA4">
        <w:rPr>
          <w:rFonts w:cs="Arial"/>
          <w:b/>
          <w:bCs/>
          <w:szCs w:val="28"/>
        </w:rPr>
        <w:t>Guidance on interpretation</w:t>
      </w:r>
    </w:p>
    <w:p w14:paraId="0466F6F3" w14:textId="2BEBC0F8" w:rsidR="00896298" w:rsidRDefault="00896298" w:rsidP="009B7EA4">
      <w:pPr>
        <w:pStyle w:val="ListParagraph"/>
        <w:numPr>
          <w:ilvl w:val="0"/>
          <w:numId w:val="33"/>
        </w:numPr>
      </w:pPr>
      <w:r>
        <w:t xml:space="preserve">For </w:t>
      </w:r>
      <w:r w:rsidR="0072044D" w:rsidRPr="00515E4A">
        <w:t xml:space="preserve">Independent, expert, and authoritative guidance on interpretation of the </w:t>
      </w:r>
      <w:r w:rsidR="00826975" w:rsidRPr="00515E4A">
        <w:t>Covenant</w:t>
      </w:r>
      <w:r w:rsidR="0072044D" w:rsidRPr="00515E4A">
        <w:t xml:space="preserve"> from the </w:t>
      </w:r>
      <w:r w:rsidR="00BB42D3" w:rsidRPr="00515E4A">
        <w:t xml:space="preserve">General Comments of the </w:t>
      </w:r>
      <w:r w:rsidR="0072044D" w:rsidRPr="00515E4A">
        <w:t>UN Committee on Economic, Social and Cultural Rights,</w:t>
      </w:r>
      <w:r w:rsidR="009D5FC8" w:rsidRPr="00515E4A">
        <w:t xml:space="preserve"> </w:t>
      </w:r>
      <w:r>
        <w:t xml:space="preserve">visit </w:t>
      </w:r>
      <w:hyperlink r:id="rId29" w:history="1">
        <w:r w:rsidRPr="009B7EA4">
          <w:rPr>
            <w:rStyle w:val="Hyperlink"/>
            <w:rFonts w:cs="Arial"/>
            <w:sz w:val="24"/>
            <w:szCs w:val="24"/>
          </w:rPr>
          <w:t>the UN Treaty Body Database on the United Nations Human Rights Treaty Bodies website. for an overview of the range of sources.</w:t>
        </w:r>
      </w:hyperlink>
    </w:p>
    <w:p w14:paraId="661F5DC7" w14:textId="028B26F8" w:rsidR="00591C65" w:rsidRPr="00515E4A" w:rsidRDefault="00591C65" w:rsidP="00896298">
      <w:pPr>
        <w:pStyle w:val="ListParagraph"/>
        <w:rPr>
          <w:rFonts w:cs="Arial"/>
          <w:sz w:val="24"/>
          <w:szCs w:val="24"/>
        </w:rPr>
      </w:pPr>
    </w:p>
    <w:p w14:paraId="03A8A68E" w14:textId="6D8549B0" w:rsidR="009D5FC8" w:rsidRPr="009B7EA4" w:rsidRDefault="009D5FC8" w:rsidP="00227674">
      <w:pPr>
        <w:pStyle w:val="ListParagraph"/>
        <w:numPr>
          <w:ilvl w:val="0"/>
          <w:numId w:val="23"/>
        </w:numPr>
        <w:rPr>
          <w:rFonts w:cs="Arial"/>
          <w:szCs w:val="28"/>
        </w:rPr>
      </w:pPr>
      <w:r w:rsidRPr="009B7EA4">
        <w:rPr>
          <w:rFonts w:cs="Arial"/>
          <w:szCs w:val="28"/>
        </w:rPr>
        <w:t>Th</w:t>
      </w:r>
      <w:r w:rsidR="001C05F4" w:rsidRPr="009B7EA4">
        <w:rPr>
          <w:rFonts w:cs="Arial"/>
          <w:szCs w:val="28"/>
        </w:rPr>
        <w:t xml:space="preserve">e most relevant sources </w:t>
      </w:r>
      <w:r w:rsidR="00896298" w:rsidRPr="009B7EA4">
        <w:rPr>
          <w:rFonts w:cs="Arial"/>
          <w:szCs w:val="28"/>
        </w:rPr>
        <w:t>include</w:t>
      </w:r>
    </w:p>
    <w:p w14:paraId="0439D724" w14:textId="66D56D68" w:rsidR="0072044D" w:rsidRPr="009B7EA4" w:rsidRDefault="00896298" w:rsidP="00F335F1">
      <w:pPr>
        <w:pStyle w:val="Style3"/>
        <w:ind w:left="1077" w:hanging="357"/>
        <w:contextualSpacing w:val="0"/>
        <w:rPr>
          <w:rStyle w:val="Hyperlink"/>
          <w:rFonts w:cs="Arial"/>
          <w:color w:val="0000FF"/>
          <w:sz w:val="28"/>
          <w:szCs w:val="28"/>
        </w:rPr>
      </w:pPr>
      <w:r w:rsidRPr="009B7EA4">
        <w:rPr>
          <w:sz w:val="28"/>
          <w:szCs w:val="24"/>
        </w:rPr>
        <w:t xml:space="preserve">This link to </w:t>
      </w:r>
      <w:hyperlink r:id="rId30" w:history="1">
        <w:r w:rsidR="0072044D" w:rsidRPr="009B7EA4">
          <w:rPr>
            <w:rStyle w:val="Hyperlink"/>
            <w:rFonts w:cs="Arial"/>
            <w:color w:val="0000FF"/>
            <w:sz w:val="28"/>
            <w:szCs w:val="28"/>
          </w:rPr>
          <w:t>UN Committee on Economic, Social and Cultural Rights (CESCR), General Comment No. 14: The Right to the Highest Attainable Standard of Health (Art. 12 of the Covenant), 11 August 2000, E/C.12/2000/4</w:t>
        </w:r>
      </w:hyperlink>
    </w:p>
    <w:p w14:paraId="39FF22B2" w14:textId="1A6D6F80" w:rsidR="0072044D" w:rsidRPr="009B7EA4" w:rsidRDefault="00896298" w:rsidP="00F335F1">
      <w:pPr>
        <w:pStyle w:val="Style3"/>
        <w:ind w:left="1077" w:hanging="357"/>
        <w:contextualSpacing w:val="0"/>
        <w:rPr>
          <w:rStyle w:val="Hyperlink"/>
          <w:rFonts w:cs="Arial"/>
          <w:color w:val="0000FF"/>
          <w:sz w:val="28"/>
          <w:szCs w:val="28"/>
        </w:rPr>
      </w:pPr>
      <w:r w:rsidRPr="009B7EA4">
        <w:rPr>
          <w:sz w:val="28"/>
          <w:szCs w:val="24"/>
        </w:rPr>
        <w:t xml:space="preserve">This link to </w:t>
      </w:r>
      <w:hyperlink r:id="rId31" w:history="1">
        <w:r w:rsidR="0072044D" w:rsidRPr="009B7EA4">
          <w:rPr>
            <w:rStyle w:val="Hyperlink"/>
            <w:rFonts w:cs="Arial"/>
            <w:color w:val="0000FF"/>
            <w:sz w:val="28"/>
            <w:szCs w:val="28"/>
          </w:rPr>
          <w:t>UN Committee on Economic, Social and Cultural Rights (CESCR), General Comment No. 19: The right to social security (Art. 9 of the Covenant) 4 February 2008, E/C.12/GC/19</w:t>
        </w:r>
      </w:hyperlink>
      <w:r w:rsidR="0072044D" w:rsidRPr="009B7EA4">
        <w:rPr>
          <w:rStyle w:val="Hyperlink"/>
          <w:rFonts w:cs="Arial"/>
          <w:color w:val="0000FF"/>
          <w:sz w:val="28"/>
          <w:szCs w:val="28"/>
        </w:rPr>
        <w:t xml:space="preserve"> </w:t>
      </w:r>
    </w:p>
    <w:p w14:paraId="0BE2DD5C" w14:textId="4BFA16F4" w:rsidR="0072044D" w:rsidRPr="009B7EA4" w:rsidRDefault="00896298" w:rsidP="00F335F1">
      <w:pPr>
        <w:pStyle w:val="Style3"/>
        <w:ind w:left="1077" w:hanging="357"/>
        <w:contextualSpacing w:val="0"/>
        <w:rPr>
          <w:rStyle w:val="Hyperlink"/>
          <w:rFonts w:cs="Arial"/>
          <w:color w:val="0000FF"/>
          <w:sz w:val="28"/>
          <w:szCs w:val="28"/>
        </w:rPr>
      </w:pPr>
      <w:r w:rsidRPr="009B7EA4">
        <w:rPr>
          <w:sz w:val="28"/>
          <w:szCs w:val="24"/>
        </w:rPr>
        <w:t xml:space="preserve">This link to </w:t>
      </w:r>
      <w:hyperlink r:id="rId32" w:history="1">
        <w:r w:rsidR="0072044D" w:rsidRPr="009B7EA4">
          <w:rPr>
            <w:rStyle w:val="Hyperlink"/>
            <w:rFonts w:cs="Arial"/>
            <w:color w:val="0000FF"/>
            <w:sz w:val="28"/>
            <w:szCs w:val="28"/>
          </w:rPr>
          <w:t>UN Committee on Economic, Social and Cultural Rights (CESCR), General Comment No. 4: The Right to Adequate Housing (Art. 11(1) of the Covenant), 13 December 1991, E/1992/23</w:t>
        </w:r>
      </w:hyperlink>
    </w:p>
    <w:p w14:paraId="1952CBF8" w14:textId="45EBE9AE" w:rsidR="0072044D" w:rsidRPr="009B7EA4" w:rsidRDefault="00896298" w:rsidP="00F335F1">
      <w:pPr>
        <w:pStyle w:val="Style3"/>
        <w:ind w:left="1077" w:hanging="357"/>
        <w:contextualSpacing w:val="0"/>
        <w:rPr>
          <w:rStyle w:val="Hyperlink"/>
          <w:rFonts w:cs="Arial"/>
          <w:color w:val="0000FF"/>
          <w:sz w:val="28"/>
          <w:szCs w:val="28"/>
        </w:rPr>
      </w:pPr>
      <w:r w:rsidRPr="009B7EA4">
        <w:rPr>
          <w:sz w:val="28"/>
          <w:szCs w:val="24"/>
        </w:rPr>
        <w:t xml:space="preserve">This link to </w:t>
      </w:r>
      <w:hyperlink r:id="rId33" w:history="1">
        <w:r w:rsidR="0072044D" w:rsidRPr="009B7EA4">
          <w:rPr>
            <w:rStyle w:val="Hyperlink"/>
            <w:rFonts w:cs="Arial"/>
            <w:color w:val="0000FF"/>
            <w:sz w:val="28"/>
            <w:szCs w:val="28"/>
          </w:rPr>
          <w:t>UN Committee on Economic, Social and Cultural Rights (CESCR), General Comment No. 3: The Nature of States Parties' Obligations (Art. 2, Para. 1 of the Covenant), 14 December 1990, E/1991/23</w:t>
        </w:r>
      </w:hyperlink>
    </w:p>
    <w:p w14:paraId="1867AFC1" w14:textId="18648FD2" w:rsidR="0072044D" w:rsidRPr="009B7EA4" w:rsidRDefault="00896298" w:rsidP="00F335F1">
      <w:pPr>
        <w:pStyle w:val="Style3"/>
        <w:ind w:left="1077" w:hanging="357"/>
        <w:contextualSpacing w:val="0"/>
        <w:rPr>
          <w:rStyle w:val="Hyperlink"/>
          <w:rFonts w:cs="Arial"/>
          <w:color w:val="0000FF"/>
          <w:sz w:val="28"/>
          <w:szCs w:val="28"/>
        </w:rPr>
      </w:pPr>
      <w:r w:rsidRPr="009B7EA4">
        <w:rPr>
          <w:sz w:val="28"/>
          <w:szCs w:val="24"/>
        </w:rPr>
        <w:t xml:space="preserve">This link to </w:t>
      </w:r>
      <w:hyperlink r:id="rId34" w:history="1">
        <w:r w:rsidR="0072044D" w:rsidRPr="009B7EA4">
          <w:rPr>
            <w:rStyle w:val="Hyperlink"/>
            <w:rFonts w:cs="Arial"/>
            <w:color w:val="0000FF"/>
            <w:sz w:val="28"/>
            <w:szCs w:val="28"/>
          </w:rPr>
          <w:t xml:space="preserve">UN Committee on Economic, Social and Cultural Rights (CESCR), General Comment No. 12: The Right to </w:t>
        </w:r>
        <w:r w:rsidR="0072044D" w:rsidRPr="009B7EA4">
          <w:rPr>
            <w:rStyle w:val="Hyperlink"/>
            <w:rFonts w:cs="Arial"/>
            <w:color w:val="0000FF"/>
            <w:sz w:val="28"/>
            <w:szCs w:val="28"/>
          </w:rPr>
          <w:lastRenderedPageBreak/>
          <w:t>Adequate Food (Art. 11 of the Covenant), 12 May 1999, E/C.12/1999/5</w:t>
        </w:r>
      </w:hyperlink>
      <w:r w:rsidR="0072044D" w:rsidRPr="009B7EA4">
        <w:rPr>
          <w:rStyle w:val="Hyperlink"/>
          <w:rFonts w:cs="Arial"/>
          <w:color w:val="0000FF"/>
          <w:sz w:val="28"/>
          <w:szCs w:val="28"/>
        </w:rPr>
        <w:t xml:space="preserve"> </w:t>
      </w:r>
    </w:p>
    <w:p w14:paraId="5CCE3D9A" w14:textId="63B7C2C3" w:rsidR="0072044D" w:rsidRPr="009B7EA4" w:rsidRDefault="00896298" w:rsidP="00F335F1">
      <w:pPr>
        <w:pStyle w:val="Style3"/>
        <w:ind w:left="1077" w:hanging="357"/>
        <w:contextualSpacing w:val="0"/>
        <w:rPr>
          <w:rStyle w:val="Hyperlink"/>
          <w:rFonts w:cs="Arial"/>
          <w:color w:val="0000FF"/>
          <w:sz w:val="28"/>
          <w:szCs w:val="28"/>
        </w:rPr>
      </w:pPr>
      <w:r w:rsidRPr="009B7EA4">
        <w:rPr>
          <w:sz w:val="28"/>
          <w:szCs w:val="24"/>
        </w:rPr>
        <w:t xml:space="preserve">This link to </w:t>
      </w:r>
      <w:hyperlink r:id="rId35" w:history="1">
        <w:r w:rsidR="0072044D" w:rsidRPr="009B7EA4">
          <w:rPr>
            <w:rStyle w:val="Hyperlink"/>
            <w:rFonts w:cs="Arial"/>
            <w:color w:val="0000FF"/>
            <w:sz w:val="28"/>
            <w:szCs w:val="28"/>
          </w:rPr>
          <w:t>UN Committee on Economic, Social and Cultural Rights (CESCR), General Comment No. 20: Non-Discrimination in Economic, Social and Cultural Rights (Art. 2, para. 2 of the Covenant), 10 June 2009, E/C.12/GC/20</w:t>
        </w:r>
      </w:hyperlink>
      <w:r w:rsidR="0072044D" w:rsidRPr="009B7EA4">
        <w:rPr>
          <w:rStyle w:val="Hyperlink"/>
          <w:rFonts w:cs="Arial"/>
          <w:color w:val="0000FF"/>
          <w:sz w:val="28"/>
          <w:szCs w:val="28"/>
        </w:rPr>
        <w:t xml:space="preserve">. </w:t>
      </w:r>
    </w:p>
    <w:p w14:paraId="71F6DBBF" w14:textId="0D76A770" w:rsidR="00591C65" w:rsidRPr="009B7EA4" w:rsidRDefault="00896298" w:rsidP="00F335F1">
      <w:pPr>
        <w:pStyle w:val="Style3"/>
        <w:ind w:left="1077" w:hanging="357"/>
        <w:contextualSpacing w:val="0"/>
        <w:rPr>
          <w:rStyle w:val="Hyperlink"/>
          <w:rFonts w:cs="Arial"/>
          <w:color w:val="0000FF"/>
          <w:sz w:val="28"/>
          <w:szCs w:val="28"/>
        </w:rPr>
      </w:pPr>
      <w:r w:rsidRPr="009B7EA4">
        <w:rPr>
          <w:sz w:val="28"/>
          <w:szCs w:val="24"/>
        </w:rPr>
        <w:t xml:space="preserve">This link to </w:t>
      </w:r>
      <w:hyperlink r:id="rId36" w:history="1">
        <w:r w:rsidR="0072044D" w:rsidRPr="009B7EA4">
          <w:rPr>
            <w:rStyle w:val="Hyperlink"/>
            <w:rFonts w:cs="Arial"/>
            <w:color w:val="0000FF"/>
            <w:sz w:val="28"/>
            <w:szCs w:val="28"/>
          </w:rPr>
          <w:t>UN Committee on Economic, Social and Cultural Rights (CESCR), Report on Evaluation of the Obligation to Take Steps to the “Maximum of Available Resources” Under an Optional Protocol to the Covenant, 21 September 2007</w:t>
        </w:r>
      </w:hyperlink>
    </w:p>
    <w:p w14:paraId="7AB9ED91" w14:textId="3A7F5074" w:rsidR="00A61593" w:rsidRPr="009B7EA4" w:rsidRDefault="0002313C" w:rsidP="00227674">
      <w:pPr>
        <w:pStyle w:val="ListParagraph"/>
        <w:numPr>
          <w:ilvl w:val="0"/>
          <w:numId w:val="5"/>
        </w:numPr>
        <w:ind w:hanging="357"/>
        <w:contextualSpacing w:val="0"/>
        <w:rPr>
          <w:rFonts w:cs="Arial"/>
          <w:szCs w:val="28"/>
        </w:rPr>
      </w:pPr>
      <w:r w:rsidRPr="009B7EA4">
        <w:rPr>
          <w:rFonts w:cs="Arial"/>
          <w:szCs w:val="28"/>
        </w:rPr>
        <w:t>Other helpful guidance includes</w:t>
      </w:r>
      <w:r w:rsidR="00591C65" w:rsidRPr="009B7EA4">
        <w:rPr>
          <w:rFonts w:cs="Arial"/>
          <w:szCs w:val="28"/>
        </w:rPr>
        <w:t>:</w:t>
      </w:r>
    </w:p>
    <w:p w14:paraId="7F4A8C61" w14:textId="567AB447" w:rsidR="004601B7" w:rsidRPr="009B7EA4" w:rsidRDefault="004F4ADE" w:rsidP="00227674">
      <w:pPr>
        <w:pStyle w:val="ListParagraph"/>
        <w:numPr>
          <w:ilvl w:val="0"/>
          <w:numId w:val="6"/>
        </w:numPr>
        <w:ind w:hanging="357"/>
        <w:contextualSpacing w:val="0"/>
        <w:rPr>
          <w:rFonts w:cs="Arial"/>
          <w:szCs w:val="28"/>
        </w:rPr>
      </w:pPr>
      <w:r w:rsidRPr="009B7EA4">
        <w:rPr>
          <w:rFonts w:cs="Arial"/>
          <w:szCs w:val="28"/>
        </w:rPr>
        <w:t xml:space="preserve">To </w:t>
      </w:r>
      <w:r w:rsidR="004601B7" w:rsidRPr="009B7EA4">
        <w:rPr>
          <w:rFonts w:cs="Arial"/>
          <w:szCs w:val="28"/>
        </w:rPr>
        <w:t xml:space="preserve">find out more information on global performance against the right of everyone to the enjoyment of the highest standard of physical and mental health, </w:t>
      </w:r>
      <w:hyperlink r:id="rId37" w:history="1">
        <w:r w:rsidR="004601B7" w:rsidRPr="009B7EA4">
          <w:rPr>
            <w:rStyle w:val="Hyperlink"/>
            <w:rFonts w:cs="Arial"/>
            <w:szCs w:val="28"/>
          </w:rPr>
          <w:t>visit the Report of the UN Special rapporteur on the United Nations website.</w:t>
        </w:r>
      </w:hyperlink>
      <w:r w:rsidR="004601B7" w:rsidRPr="009B7EA4">
        <w:rPr>
          <w:rFonts w:cs="Arial"/>
          <w:szCs w:val="28"/>
        </w:rPr>
        <w:t xml:space="preserve"> </w:t>
      </w:r>
    </w:p>
    <w:p w14:paraId="269B8000" w14:textId="7F12CD6C" w:rsidR="004601B7" w:rsidRPr="009B7EA4" w:rsidRDefault="004601B7" w:rsidP="00227674">
      <w:pPr>
        <w:pStyle w:val="ListParagraph"/>
        <w:numPr>
          <w:ilvl w:val="0"/>
          <w:numId w:val="6"/>
        </w:numPr>
        <w:rPr>
          <w:rFonts w:cs="Arial"/>
          <w:szCs w:val="28"/>
        </w:rPr>
      </w:pPr>
      <w:r w:rsidRPr="009B7EA4">
        <w:rPr>
          <w:rFonts w:cs="Arial"/>
          <w:szCs w:val="28"/>
        </w:rPr>
        <w:t xml:space="preserve">For more information on WHO diagnostic categories, </w:t>
      </w:r>
      <w:hyperlink r:id="rId38" w:history="1">
        <w:r w:rsidRPr="009B7EA4">
          <w:rPr>
            <w:rStyle w:val="Hyperlink"/>
            <w:rFonts w:cs="Arial"/>
            <w:szCs w:val="28"/>
          </w:rPr>
          <w:t>visit the WHO ICD 11 page.</w:t>
        </w:r>
      </w:hyperlink>
      <w:r w:rsidRPr="009B7EA4">
        <w:rPr>
          <w:rFonts w:cs="Arial"/>
          <w:szCs w:val="28"/>
        </w:rPr>
        <w:t xml:space="preserve"> </w:t>
      </w:r>
    </w:p>
    <w:p w14:paraId="28BFEB24" w14:textId="6437FD93" w:rsidR="004F11D7" w:rsidRPr="009B7EA4" w:rsidRDefault="004F11D7" w:rsidP="004601B7">
      <w:pPr>
        <w:pStyle w:val="ListParagraph"/>
        <w:ind w:left="1080"/>
        <w:rPr>
          <w:rFonts w:cs="Arial"/>
          <w:szCs w:val="28"/>
        </w:rPr>
      </w:pPr>
      <w:r w:rsidRPr="009B7EA4">
        <w:rPr>
          <w:rFonts w:cs="Arial"/>
          <w:szCs w:val="28"/>
        </w:rPr>
        <w:t xml:space="preserve">    </w:t>
      </w:r>
    </w:p>
    <w:p w14:paraId="4D6C4610" w14:textId="1CFEF6A2" w:rsidR="00FA0A63" w:rsidRPr="009B7EA4" w:rsidRDefault="004116DB" w:rsidP="00227674">
      <w:pPr>
        <w:pStyle w:val="ListParagraph"/>
        <w:numPr>
          <w:ilvl w:val="0"/>
          <w:numId w:val="6"/>
        </w:numPr>
        <w:rPr>
          <w:rFonts w:cs="Arial"/>
          <w:szCs w:val="28"/>
        </w:rPr>
      </w:pPr>
      <w:r w:rsidRPr="009B7EA4">
        <w:rPr>
          <w:rFonts w:cs="Arial"/>
          <w:szCs w:val="28"/>
        </w:rPr>
        <w:t xml:space="preserve">For more information on </w:t>
      </w:r>
      <w:r w:rsidR="004D13CE" w:rsidRPr="009B7EA4">
        <w:rPr>
          <w:rFonts w:cs="Arial"/>
          <w:szCs w:val="28"/>
        </w:rPr>
        <w:t xml:space="preserve">indicators and monitoring visit </w:t>
      </w:r>
      <w:hyperlink r:id="rId39" w:history="1">
        <w:r w:rsidR="004D13CE" w:rsidRPr="009B7EA4">
          <w:rPr>
            <w:rStyle w:val="Hyperlink"/>
            <w:rFonts w:cs="Arial"/>
            <w:szCs w:val="28"/>
          </w:rPr>
          <w:t xml:space="preserve">this PDF by the </w:t>
        </w:r>
        <w:r w:rsidR="00FA0A63" w:rsidRPr="009B7EA4">
          <w:rPr>
            <w:rStyle w:val="Hyperlink"/>
            <w:rFonts w:cs="Arial"/>
            <w:szCs w:val="28"/>
          </w:rPr>
          <w:t>OHCHR Report on Indicators for monitoring compliance with international human rights instruments: a conceptual and methodological framework</w:t>
        </w:r>
      </w:hyperlink>
      <w:r w:rsidR="004601B7" w:rsidRPr="009B7EA4">
        <w:rPr>
          <w:szCs w:val="28"/>
        </w:rPr>
        <w:br/>
      </w:r>
    </w:p>
    <w:p w14:paraId="0DF640B8" w14:textId="71A21DFD" w:rsidR="00EF583B" w:rsidRPr="009B7EA4" w:rsidRDefault="00EF583B" w:rsidP="00227674">
      <w:pPr>
        <w:pStyle w:val="ListParagraph"/>
        <w:numPr>
          <w:ilvl w:val="0"/>
          <w:numId w:val="6"/>
        </w:numPr>
        <w:rPr>
          <w:rFonts w:cs="Arial"/>
          <w:szCs w:val="28"/>
        </w:rPr>
      </w:pPr>
      <w:r w:rsidRPr="009B7EA4">
        <w:rPr>
          <w:rFonts w:cs="Arial"/>
          <w:szCs w:val="28"/>
        </w:rPr>
        <w:t xml:space="preserve">For more information on indicators and monitoring visit </w:t>
      </w:r>
      <w:hyperlink r:id="rId40" w:history="1">
        <w:r w:rsidRPr="009B7EA4">
          <w:rPr>
            <w:rStyle w:val="Hyperlink"/>
            <w:rFonts w:cs="Arial"/>
            <w:szCs w:val="28"/>
          </w:rPr>
          <w:t xml:space="preserve">this landing page </w:t>
        </w:r>
        <w:r w:rsidR="00CB7C8D" w:rsidRPr="009B7EA4">
          <w:rPr>
            <w:rStyle w:val="Hyperlink"/>
            <w:rFonts w:cs="Arial"/>
            <w:szCs w:val="28"/>
          </w:rPr>
          <w:t>published by the United Nations High Commissioner for Human Rights that has links to the 2008 report on Indicators for Promoting and Monitoring the Implementation of Human Rights.</w:t>
        </w:r>
      </w:hyperlink>
      <w:r w:rsidR="00CB7C8D" w:rsidRPr="009B7EA4">
        <w:rPr>
          <w:rFonts w:cs="Arial"/>
          <w:szCs w:val="28"/>
        </w:rPr>
        <w:t xml:space="preserve"> </w:t>
      </w:r>
    </w:p>
    <w:p w14:paraId="4437A63E" w14:textId="77777777" w:rsidR="00D72762" w:rsidRPr="009B7EA4" w:rsidRDefault="00D72762" w:rsidP="00D72762">
      <w:pPr>
        <w:pStyle w:val="ListParagraph"/>
        <w:ind w:left="1080"/>
        <w:rPr>
          <w:rFonts w:cs="Arial"/>
          <w:szCs w:val="28"/>
        </w:rPr>
      </w:pPr>
    </w:p>
    <w:p w14:paraId="3E4D6462" w14:textId="77777777" w:rsidR="005513E1" w:rsidRPr="009317DF" w:rsidRDefault="005513E1" w:rsidP="009317DF">
      <w:pPr>
        <w:rPr>
          <w:rFonts w:cs="Arial"/>
          <w:sz w:val="24"/>
          <w:szCs w:val="24"/>
        </w:rPr>
      </w:pPr>
    </w:p>
    <w:p w14:paraId="61C12F98" w14:textId="04DEEA47" w:rsidR="00C978FC" w:rsidRPr="00A933A1" w:rsidRDefault="009F19D0" w:rsidP="00A933A1">
      <w:pPr>
        <w:pStyle w:val="Heading1"/>
        <w:rPr>
          <w:rFonts w:cs="Arial"/>
          <w:sz w:val="24"/>
          <w:szCs w:val="24"/>
        </w:rPr>
      </w:pPr>
      <w:bookmarkStart w:id="81" w:name="_Toc184287897"/>
      <w:bookmarkStart w:id="82" w:name="_Toc184287995"/>
      <w:bookmarkStart w:id="83" w:name="_Toc184288726"/>
      <w:bookmarkStart w:id="84" w:name="_Toc184288771"/>
      <w:bookmarkStart w:id="85" w:name="_Toc184291320"/>
      <w:bookmarkStart w:id="86" w:name="_Toc184298365"/>
      <w:bookmarkStart w:id="87" w:name="_Toc184298462"/>
      <w:r w:rsidRPr="00196AE5">
        <w:rPr>
          <w:rFonts w:cs="Arial"/>
          <w:sz w:val="24"/>
          <w:szCs w:val="24"/>
        </w:rPr>
        <w:t>End</w:t>
      </w:r>
      <w:r w:rsidR="001B7ECB" w:rsidRPr="00196AE5">
        <w:rPr>
          <w:rFonts w:cs="Arial"/>
          <w:sz w:val="24"/>
          <w:szCs w:val="24"/>
        </w:rPr>
        <w:t>notes</w:t>
      </w:r>
      <w:bookmarkEnd w:id="81"/>
      <w:bookmarkEnd w:id="82"/>
      <w:bookmarkEnd w:id="83"/>
      <w:bookmarkEnd w:id="84"/>
      <w:bookmarkEnd w:id="85"/>
      <w:bookmarkEnd w:id="86"/>
      <w:bookmarkEnd w:id="87"/>
    </w:p>
    <w:sectPr w:rsidR="00C978FC" w:rsidRPr="00A933A1">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13E33" w14:textId="77777777" w:rsidR="00C27480" w:rsidRDefault="00C27480" w:rsidP="000039B6">
      <w:pPr>
        <w:spacing w:after="0" w:line="240" w:lineRule="auto"/>
      </w:pPr>
      <w:r>
        <w:separator/>
      </w:r>
    </w:p>
  </w:endnote>
  <w:endnote w:type="continuationSeparator" w:id="0">
    <w:p w14:paraId="3E0B5EED" w14:textId="77777777" w:rsidR="00C27480" w:rsidRDefault="00C27480" w:rsidP="000039B6">
      <w:pPr>
        <w:spacing w:after="0" w:line="240" w:lineRule="auto"/>
      </w:pPr>
      <w:r>
        <w:continuationSeparator/>
      </w:r>
    </w:p>
  </w:endnote>
  <w:endnote w:id="1">
    <w:p w14:paraId="34A505EB" w14:textId="5F4379ED" w:rsidR="000501B6" w:rsidRPr="00936DF3" w:rsidRDefault="000501B6" w:rsidP="00936DF3">
      <w:pPr>
        <w:spacing w:before="120" w:after="240"/>
        <w:rPr>
          <w:rFonts w:cs="Arial"/>
          <w:szCs w:val="28"/>
        </w:rPr>
      </w:pPr>
      <w:r w:rsidRPr="00936DF3">
        <w:rPr>
          <w:rStyle w:val="EndnoteReference"/>
          <w:szCs w:val="28"/>
        </w:rPr>
        <w:endnoteRef/>
      </w:r>
      <w:r w:rsidRPr="00936DF3">
        <w:rPr>
          <w:szCs w:val="28"/>
        </w:rPr>
        <w:t xml:space="preserve"> </w:t>
      </w:r>
      <w:r w:rsidRPr="00936DF3">
        <w:rPr>
          <w:rFonts w:cs="Arial"/>
          <w:szCs w:val="28"/>
        </w:rPr>
        <w:t xml:space="preserve">A Human Rights Bill for Scotland: consultation guide (July 2022) </w:t>
      </w:r>
      <w:hyperlink r:id="rId1" w:history="1">
        <w:r w:rsidRPr="00936DF3">
          <w:rPr>
            <w:rStyle w:val="Hyperlink"/>
            <w:rFonts w:cs="Arial"/>
            <w:color w:val="auto"/>
            <w:szCs w:val="28"/>
            <w:u w:val="none"/>
          </w:rPr>
          <w:t>A Human Rights Bill for Scotland: consultation guide - gov.scot</w:t>
        </w:r>
      </w:hyperlink>
    </w:p>
  </w:endnote>
  <w:endnote w:id="2">
    <w:p w14:paraId="1DC45D69" w14:textId="3AA967B1" w:rsidR="00153EAD" w:rsidRPr="00936DF3" w:rsidRDefault="00153EAD" w:rsidP="00936DF3">
      <w:pPr>
        <w:spacing w:before="120" w:after="240"/>
        <w:rPr>
          <w:rFonts w:cs="Arial"/>
          <w:szCs w:val="28"/>
        </w:rPr>
      </w:pPr>
      <w:r w:rsidRPr="00936DF3">
        <w:rPr>
          <w:rStyle w:val="EndnoteReference"/>
          <w:szCs w:val="28"/>
        </w:rPr>
        <w:endnoteRef/>
      </w:r>
      <w:r w:rsidRPr="00936DF3">
        <w:rPr>
          <w:szCs w:val="28"/>
        </w:rPr>
        <w:t xml:space="preserve"> </w:t>
      </w:r>
      <w:hyperlink r:id="rId2" w:history="1">
        <w:r w:rsidRPr="00936DF3">
          <w:rPr>
            <w:rStyle w:val="Hyperlink"/>
            <w:szCs w:val="28"/>
          </w:rPr>
          <w:t>National Taskforce for Human Rights: Leadership Report (March 2021)</w:t>
        </w:r>
      </w:hyperlink>
    </w:p>
  </w:endnote>
  <w:endnote w:id="3">
    <w:p w14:paraId="712509D9" w14:textId="7A715605" w:rsidR="00AF0495" w:rsidRPr="00936DF3" w:rsidRDefault="00AF0495" w:rsidP="00936DF3">
      <w:pPr>
        <w:pStyle w:val="EndnoteText"/>
        <w:spacing w:before="120" w:after="240"/>
        <w:rPr>
          <w:sz w:val="28"/>
          <w:szCs w:val="28"/>
          <w:lang w:val="en-US"/>
        </w:rPr>
      </w:pPr>
      <w:r w:rsidRPr="00936DF3">
        <w:rPr>
          <w:rStyle w:val="EndnoteReference"/>
          <w:sz w:val="28"/>
          <w:szCs w:val="28"/>
        </w:rPr>
        <w:endnoteRef/>
      </w:r>
      <w:r w:rsidRPr="00936DF3">
        <w:rPr>
          <w:sz w:val="28"/>
          <w:szCs w:val="28"/>
        </w:rPr>
        <w:t xml:space="preserve"> </w:t>
      </w:r>
      <w:hyperlink r:id="rId3" w:history="1">
        <w:r w:rsidRPr="00936DF3">
          <w:rPr>
            <w:rStyle w:val="Hyperlink"/>
            <w:sz w:val="28"/>
            <w:szCs w:val="28"/>
          </w:rPr>
          <w:t>U.N. Committee on Economic, Social and Cultural Rights [CESCR], General Comment No. 20: Non-Discrimination in Economic, Social and Cultural Rights, reference paragraphs 27 and 33</w:t>
        </w:r>
      </w:hyperlink>
    </w:p>
  </w:endnote>
  <w:endnote w:id="4">
    <w:p w14:paraId="2D7A8CF7" w14:textId="73C5F4C9" w:rsidR="00B859D8" w:rsidRPr="00936DF3" w:rsidRDefault="00B859D8" w:rsidP="00936DF3">
      <w:pPr>
        <w:pStyle w:val="EndnoteText"/>
        <w:spacing w:before="120" w:after="240"/>
        <w:rPr>
          <w:sz w:val="28"/>
          <w:szCs w:val="28"/>
          <w:lang w:val="en-US"/>
        </w:rPr>
      </w:pPr>
      <w:r w:rsidRPr="00936DF3">
        <w:rPr>
          <w:rStyle w:val="EndnoteReference"/>
          <w:sz w:val="28"/>
          <w:szCs w:val="28"/>
        </w:rPr>
        <w:endnoteRef/>
      </w:r>
      <w:r w:rsidRPr="00936DF3">
        <w:rPr>
          <w:sz w:val="28"/>
          <w:szCs w:val="28"/>
        </w:rPr>
        <w:t xml:space="preserve"> </w:t>
      </w:r>
      <w:hyperlink r:id="rId4" w:history="1">
        <w:r w:rsidRPr="00936DF3">
          <w:rPr>
            <w:rStyle w:val="Hyperlink"/>
            <w:rFonts w:cs="Arial"/>
            <w:sz w:val="28"/>
            <w:szCs w:val="28"/>
          </w:rPr>
          <w:t>WHO International Classification of Diseases 11</w:t>
        </w:r>
        <w:r w:rsidRPr="00936DF3">
          <w:rPr>
            <w:rStyle w:val="Hyperlink"/>
            <w:rFonts w:cs="Arial"/>
            <w:sz w:val="28"/>
            <w:szCs w:val="28"/>
            <w:vertAlign w:val="superscript"/>
          </w:rPr>
          <w:t>th</w:t>
        </w:r>
        <w:r w:rsidRPr="00936DF3">
          <w:rPr>
            <w:rStyle w:val="Hyperlink"/>
            <w:rFonts w:cs="Arial"/>
            <w:sz w:val="28"/>
            <w:szCs w:val="28"/>
          </w:rPr>
          <w:t xml:space="preserve"> Revision: The WHO ICD 11</w:t>
        </w:r>
      </w:hyperlink>
    </w:p>
  </w:endnote>
  <w:endnote w:id="5">
    <w:p w14:paraId="4EE399A7" w14:textId="5A6F73D9" w:rsidR="00883053" w:rsidRPr="00936DF3" w:rsidRDefault="00883053" w:rsidP="00936DF3">
      <w:pPr>
        <w:pStyle w:val="EndnoteText"/>
        <w:spacing w:before="120" w:after="240"/>
        <w:rPr>
          <w:sz w:val="28"/>
          <w:szCs w:val="28"/>
          <w:lang w:val="en-US"/>
        </w:rPr>
      </w:pPr>
      <w:r w:rsidRPr="00936DF3">
        <w:rPr>
          <w:rStyle w:val="EndnoteReference"/>
          <w:sz w:val="28"/>
          <w:szCs w:val="28"/>
        </w:rPr>
        <w:endnoteRef/>
      </w:r>
      <w:r w:rsidRPr="00936DF3">
        <w:rPr>
          <w:sz w:val="28"/>
          <w:szCs w:val="28"/>
        </w:rPr>
        <w:t xml:space="preserve"> </w:t>
      </w:r>
      <w:hyperlink r:id="rId5" w:history="1">
        <w:r w:rsidRPr="00936DF3">
          <w:rPr>
            <w:rStyle w:val="Hyperlink"/>
            <w:rFonts w:cs="Arial"/>
            <w:sz w:val="28"/>
            <w:szCs w:val="28"/>
          </w:rPr>
          <w:t>A caring, compassionate and human rights informed drug policy for Scotland (July 2023</w:t>
        </w:r>
      </w:hyperlink>
    </w:p>
  </w:endnote>
  <w:endnote w:id="6">
    <w:p w14:paraId="2E709560" w14:textId="0FFBCF0A" w:rsidR="009161BB" w:rsidRPr="00936DF3" w:rsidRDefault="009161BB" w:rsidP="00936DF3">
      <w:pPr>
        <w:pStyle w:val="EndnoteText"/>
        <w:spacing w:before="120" w:after="240"/>
        <w:rPr>
          <w:sz w:val="28"/>
          <w:szCs w:val="28"/>
          <w:lang w:val="en-US"/>
        </w:rPr>
      </w:pPr>
      <w:r w:rsidRPr="00936DF3">
        <w:rPr>
          <w:rStyle w:val="EndnoteReference"/>
          <w:sz w:val="28"/>
          <w:szCs w:val="28"/>
        </w:rPr>
        <w:endnoteRef/>
      </w:r>
      <w:r w:rsidRPr="00936DF3">
        <w:rPr>
          <w:sz w:val="28"/>
          <w:szCs w:val="28"/>
        </w:rPr>
        <w:t xml:space="preserve"> </w:t>
      </w:r>
      <w:hyperlink r:id="rId6" w:history="1">
        <w:r w:rsidRPr="00936DF3">
          <w:rPr>
            <w:rStyle w:val="Hyperlink"/>
            <w:sz w:val="28"/>
            <w:szCs w:val="28"/>
            <w:lang w:val="en-US"/>
          </w:rPr>
          <w:t>Lord Advocate’s statement on pilot safer drug consumption facility, September 2023</w:t>
        </w:r>
      </w:hyperlink>
    </w:p>
  </w:endnote>
  <w:endnote w:id="7">
    <w:p w14:paraId="6D453EFA" w14:textId="68BD4B79" w:rsidR="007E30BA" w:rsidRPr="00936DF3" w:rsidRDefault="007E30BA" w:rsidP="00936DF3">
      <w:pPr>
        <w:pStyle w:val="EndnoteText"/>
        <w:spacing w:before="120" w:after="240"/>
        <w:rPr>
          <w:sz w:val="28"/>
          <w:szCs w:val="28"/>
          <w:lang w:val="en-US"/>
        </w:rPr>
      </w:pPr>
      <w:r w:rsidRPr="00936DF3">
        <w:rPr>
          <w:rStyle w:val="EndnoteReference"/>
          <w:sz w:val="28"/>
          <w:szCs w:val="28"/>
        </w:rPr>
        <w:endnoteRef/>
      </w:r>
      <w:r w:rsidRPr="00936DF3">
        <w:rPr>
          <w:sz w:val="28"/>
          <w:szCs w:val="28"/>
        </w:rPr>
        <w:t xml:space="preserve"> </w:t>
      </w:r>
      <w:hyperlink r:id="rId7" w:history="1">
        <w:r w:rsidRPr="00936DF3">
          <w:rPr>
            <w:rStyle w:val="Hyperlink"/>
            <w:rFonts w:cs="Arial"/>
            <w:sz w:val="28"/>
            <w:szCs w:val="28"/>
          </w:rPr>
          <w:t>International Guidance on Human Rights and Drug Policy, March 2019</w:t>
        </w:r>
      </w:hyperlink>
    </w:p>
  </w:endnote>
  <w:endnote w:id="8">
    <w:p w14:paraId="2D4716E6" w14:textId="1FCEB1F5" w:rsidR="005349E5" w:rsidRPr="00936DF3" w:rsidRDefault="005349E5" w:rsidP="00936DF3">
      <w:pPr>
        <w:pStyle w:val="EndnoteText"/>
        <w:spacing w:before="120" w:after="240"/>
        <w:rPr>
          <w:sz w:val="28"/>
          <w:szCs w:val="28"/>
          <w:lang w:val="en-US"/>
        </w:rPr>
      </w:pPr>
      <w:r w:rsidRPr="00936DF3">
        <w:rPr>
          <w:rStyle w:val="EndnoteReference"/>
          <w:sz w:val="28"/>
          <w:szCs w:val="28"/>
        </w:rPr>
        <w:endnoteRef/>
      </w:r>
      <w:r w:rsidRPr="00936DF3">
        <w:rPr>
          <w:sz w:val="28"/>
          <w:szCs w:val="28"/>
        </w:rPr>
        <w:t xml:space="preserve"> </w:t>
      </w:r>
      <w:hyperlink r:id="rId8" w:history="1">
        <w:r w:rsidRPr="00936DF3">
          <w:rPr>
            <w:rStyle w:val="Hyperlink"/>
            <w:sz w:val="28"/>
            <w:szCs w:val="28"/>
            <w:lang w:eastAsia="en-GB"/>
          </w:rPr>
          <w:t>the Committee on Economic, Social and Cultural Rights in its General Comment No 12, Para 15, 1999</w:t>
        </w:r>
      </w:hyperlink>
    </w:p>
  </w:endnote>
  <w:endnote w:id="9">
    <w:p w14:paraId="70D90FD0" w14:textId="1D2D25B8" w:rsidR="00713C1E" w:rsidRPr="00936DF3" w:rsidRDefault="00713C1E" w:rsidP="00936DF3">
      <w:pPr>
        <w:pStyle w:val="EndnoteText"/>
        <w:spacing w:before="120" w:after="240"/>
        <w:rPr>
          <w:sz w:val="28"/>
          <w:szCs w:val="28"/>
          <w:lang w:val="en-US"/>
        </w:rPr>
      </w:pPr>
      <w:r w:rsidRPr="00936DF3">
        <w:rPr>
          <w:rStyle w:val="EndnoteReference"/>
          <w:sz w:val="28"/>
          <w:szCs w:val="28"/>
        </w:rPr>
        <w:endnoteRef/>
      </w:r>
      <w:r w:rsidRPr="00936DF3">
        <w:rPr>
          <w:sz w:val="28"/>
          <w:szCs w:val="28"/>
        </w:rPr>
        <w:t xml:space="preserve"> </w:t>
      </w:r>
      <w:hyperlink r:id="rId9" w:history="1">
        <w:r w:rsidRPr="00936DF3">
          <w:rPr>
            <w:rStyle w:val="Hyperlink"/>
            <w:sz w:val="28"/>
            <w:szCs w:val="28"/>
            <w:lang w:val="en-US"/>
          </w:rPr>
          <w:t>the Committee on Economic, Social and Cultural Rights in its General Comment No 12, 1999</w:t>
        </w:r>
      </w:hyperlink>
      <w:r w:rsidRPr="00936DF3">
        <w:rPr>
          <w:sz w:val="28"/>
          <w:szCs w:val="28"/>
          <w:lang w:val="en-US"/>
        </w:rPr>
        <w:t xml:space="preserve"> </w:t>
      </w:r>
    </w:p>
  </w:endnote>
  <w:endnote w:id="10">
    <w:p w14:paraId="2C2EC173" w14:textId="6EB3CCE7" w:rsidR="003B0533" w:rsidRPr="00936DF3" w:rsidRDefault="003B0533" w:rsidP="00936DF3">
      <w:pPr>
        <w:pStyle w:val="EndnoteText"/>
        <w:spacing w:before="120" w:after="240"/>
        <w:rPr>
          <w:sz w:val="28"/>
          <w:szCs w:val="28"/>
          <w:lang w:val="en-US"/>
        </w:rPr>
      </w:pPr>
      <w:r w:rsidRPr="00936DF3">
        <w:rPr>
          <w:rStyle w:val="EndnoteReference"/>
          <w:sz w:val="28"/>
          <w:szCs w:val="28"/>
        </w:rPr>
        <w:endnoteRef/>
      </w:r>
      <w:r w:rsidRPr="00936DF3">
        <w:rPr>
          <w:sz w:val="28"/>
          <w:szCs w:val="28"/>
        </w:rPr>
        <w:t xml:space="preserve"> </w:t>
      </w:r>
      <w:r w:rsidRPr="00936DF3">
        <w:rPr>
          <w:rFonts w:eastAsia="Times New Roman" w:cs="Arial"/>
          <w:kern w:val="0"/>
          <w:sz w:val="28"/>
          <w:szCs w:val="28"/>
          <w:lang w:eastAsia="en-GB"/>
          <w14:ligatures w14:val="none"/>
        </w:rPr>
        <w:t>Committee on Economic, Social and Cultural Rights General Comment No 14, Para 12</w:t>
      </w:r>
    </w:p>
  </w:endnote>
  <w:endnote w:id="11">
    <w:p w14:paraId="36526BCC" w14:textId="757FBD01" w:rsidR="0032653A" w:rsidRPr="00936DF3" w:rsidRDefault="0032653A" w:rsidP="00936DF3">
      <w:pPr>
        <w:pStyle w:val="EndnoteText"/>
        <w:spacing w:before="120" w:after="240"/>
        <w:rPr>
          <w:sz w:val="28"/>
          <w:szCs w:val="28"/>
          <w:lang w:val="en-US"/>
        </w:rPr>
      </w:pPr>
      <w:r w:rsidRPr="00936DF3">
        <w:rPr>
          <w:rStyle w:val="EndnoteReference"/>
          <w:sz w:val="28"/>
          <w:szCs w:val="28"/>
        </w:rPr>
        <w:endnoteRef/>
      </w:r>
      <w:r w:rsidRPr="00936DF3">
        <w:rPr>
          <w:sz w:val="28"/>
          <w:szCs w:val="28"/>
        </w:rPr>
        <w:t xml:space="preserve"> </w:t>
      </w:r>
      <w:hyperlink r:id="rId10" w:history="1">
        <w:r w:rsidRPr="00936DF3">
          <w:rPr>
            <w:rStyle w:val="Hyperlink"/>
            <w:sz w:val="28"/>
            <w:szCs w:val="28"/>
          </w:rPr>
          <w:t>U.N. Common Understanding of a Human Rights Based Approach, September 2003</w:t>
        </w:r>
      </w:hyperlink>
    </w:p>
  </w:endnote>
  <w:endnote w:id="12">
    <w:p w14:paraId="5D172586" w14:textId="6518FB1C" w:rsidR="0032653A" w:rsidRDefault="0032653A" w:rsidP="00936DF3">
      <w:pPr>
        <w:pStyle w:val="EndnoteText"/>
        <w:spacing w:before="120" w:after="240"/>
        <w:rPr>
          <w:rFonts w:cs="Arial"/>
          <w:sz w:val="24"/>
          <w:szCs w:val="24"/>
        </w:rPr>
      </w:pPr>
      <w:r w:rsidRPr="00936DF3">
        <w:rPr>
          <w:rStyle w:val="EndnoteReference"/>
          <w:sz w:val="28"/>
          <w:szCs w:val="28"/>
        </w:rPr>
        <w:endnoteRef/>
      </w:r>
      <w:r w:rsidRPr="00936DF3">
        <w:rPr>
          <w:sz w:val="28"/>
          <w:szCs w:val="28"/>
        </w:rPr>
        <w:t xml:space="preserve"> </w:t>
      </w:r>
      <w:hyperlink r:id="rId11" w:history="1">
        <w:r w:rsidRPr="00936DF3">
          <w:rPr>
            <w:rStyle w:val="Hyperlink"/>
            <w:rFonts w:cs="Arial"/>
            <w:sz w:val="28"/>
            <w:szCs w:val="28"/>
          </w:rPr>
          <w:t>Scottish Human Rights Commission Human Rights Based Approach Leaflet</w:t>
        </w:r>
      </w:hyperlink>
      <w:r w:rsidRPr="00936DF3">
        <w:rPr>
          <w:rFonts w:cs="Arial"/>
          <w:sz w:val="28"/>
          <w:szCs w:val="28"/>
        </w:rPr>
        <w:t xml:space="preserve"> ; </w:t>
      </w:r>
      <w:hyperlink r:id="rId12" w:history="1">
        <w:r w:rsidRPr="00936DF3">
          <w:rPr>
            <w:rStyle w:val="Hyperlink"/>
            <w:rFonts w:cs="Arial"/>
            <w:sz w:val="28"/>
            <w:szCs w:val="28"/>
          </w:rPr>
          <w:t xml:space="preserve">Scottish Human Rights Commission Human Rights Based Approach </w:t>
        </w:r>
        <w:r w:rsidRPr="00936DF3">
          <w:rPr>
            <w:rStyle w:val="Hyperlink"/>
            <w:rFonts w:cs="Arial"/>
            <w:sz w:val="28"/>
            <w:szCs w:val="28"/>
          </w:rPr>
          <w:t>Self Assessment Tool</w:t>
        </w:r>
      </w:hyperlink>
      <w:r w:rsidRPr="00936DF3">
        <w:rPr>
          <w:rFonts w:cs="Arial"/>
          <w:sz w:val="28"/>
          <w:szCs w:val="28"/>
        </w:rPr>
        <w:t>.</w:t>
      </w:r>
      <w:r>
        <w:rPr>
          <w:rFonts w:cs="Arial"/>
          <w:sz w:val="24"/>
          <w:szCs w:val="24"/>
        </w:rPr>
        <w:t xml:space="preserve"> </w:t>
      </w:r>
    </w:p>
    <w:p w14:paraId="0E5140E5" w14:textId="77777777" w:rsidR="00A933A1" w:rsidRDefault="00A933A1" w:rsidP="00936DF3">
      <w:pPr>
        <w:pStyle w:val="EndnoteText"/>
        <w:spacing w:before="120" w:after="240"/>
        <w:rPr>
          <w:rFonts w:cs="Arial"/>
          <w:sz w:val="24"/>
          <w:szCs w:val="24"/>
        </w:rPr>
      </w:pPr>
    </w:p>
    <w:p w14:paraId="24DB5912" w14:textId="77777777" w:rsidR="00A933A1" w:rsidRDefault="00A933A1" w:rsidP="00A933A1">
      <w:pPr>
        <w:rPr>
          <w:b/>
          <w:bCs/>
        </w:rPr>
      </w:pPr>
      <w:r w:rsidRPr="00567D39">
        <w:rPr>
          <w:b/>
          <w:bCs/>
        </w:rPr>
        <w:t>This Guidance was last updated in November 2024.</w:t>
      </w:r>
    </w:p>
    <w:p w14:paraId="0DF4D6BE" w14:textId="77777777" w:rsidR="00A933A1" w:rsidRPr="00567D39" w:rsidRDefault="00A933A1" w:rsidP="00A933A1">
      <w:pPr>
        <w:rPr>
          <w:b/>
          <w:bCs/>
        </w:rPr>
      </w:pPr>
      <w:r>
        <w:rPr>
          <w:b/>
          <w:bCs/>
        </w:rPr>
        <w:t xml:space="preserve">End of document. </w:t>
      </w:r>
    </w:p>
    <w:p w14:paraId="6EBEB2B9" w14:textId="77777777" w:rsidR="00A933A1" w:rsidRPr="0032653A" w:rsidRDefault="00A933A1" w:rsidP="00936DF3">
      <w:pPr>
        <w:pStyle w:val="EndnoteText"/>
        <w:spacing w:before="120" w:after="240"/>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1599469032"/>
      <w:docPartObj>
        <w:docPartGallery w:val="Page Numbers (Bottom of Page)"/>
        <w:docPartUnique/>
      </w:docPartObj>
    </w:sdtPr>
    <w:sdtEndPr>
      <w:rPr>
        <w:noProof/>
      </w:rPr>
    </w:sdtEndPr>
    <w:sdtContent>
      <w:p w14:paraId="0DD8B414" w14:textId="2AA32882" w:rsidR="00A30BDA" w:rsidRPr="00572F2E" w:rsidRDefault="00A30BDA">
        <w:pPr>
          <w:pStyle w:val="Footer"/>
          <w:jc w:val="right"/>
          <w:rPr>
            <w:rFonts w:cs="Arial"/>
          </w:rPr>
        </w:pPr>
        <w:r w:rsidRPr="00572F2E">
          <w:rPr>
            <w:rFonts w:cs="Arial"/>
          </w:rPr>
          <w:fldChar w:fldCharType="begin"/>
        </w:r>
        <w:r w:rsidRPr="00572F2E">
          <w:rPr>
            <w:rFonts w:cs="Arial"/>
          </w:rPr>
          <w:instrText xml:space="preserve"> PAGE   \* MERGEFORMAT </w:instrText>
        </w:r>
        <w:r w:rsidRPr="00572F2E">
          <w:rPr>
            <w:rFonts w:cs="Arial"/>
          </w:rPr>
          <w:fldChar w:fldCharType="separate"/>
        </w:r>
        <w:r w:rsidRPr="00572F2E">
          <w:rPr>
            <w:rFonts w:cs="Arial"/>
            <w:noProof/>
          </w:rPr>
          <w:t>2</w:t>
        </w:r>
        <w:r w:rsidRPr="00572F2E">
          <w:rPr>
            <w:rFonts w:cs="Arial"/>
            <w:noProof/>
          </w:rPr>
          <w:fldChar w:fldCharType="end"/>
        </w:r>
      </w:p>
    </w:sdtContent>
  </w:sdt>
  <w:p w14:paraId="00F0DEDE" w14:textId="77777777" w:rsidR="000039B6" w:rsidRDefault="000039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2E288" w14:textId="77777777" w:rsidR="00C27480" w:rsidRDefault="00C27480" w:rsidP="000039B6">
      <w:pPr>
        <w:spacing w:after="0" w:line="240" w:lineRule="auto"/>
      </w:pPr>
      <w:r>
        <w:separator/>
      </w:r>
    </w:p>
  </w:footnote>
  <w:footnote w:type="continuationSeparator" w:id="0">
    <w:p w14:paraId="5847B7BB" w14:textId="77777777" w:rsidR="00C27480" w:rsidRDefault="00C27480" w:rsidP="00003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2D119" w14:textId="49FAEB63" w:rsidR="00290F54" w:rsidRDefault="00290F54">
    <w:pPr>
      <w:pStyle w:val="Header"/>
    </w:pPr>
  </w:p>
  <w:p w14:paraId="67A10AA3" w14:textId="77777777" w:rsidR="007C7CDD" w:rsidRDefault="007C7C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D0A4E"/>
    <w:multiLevelType w:val="multilevel"/>
    <w:tmpl w:val="614AD66A"/>
    <w:styleLink w:val="Style6"/>
    <w:lvl w:ilvl="0">
      <w:start w:val="1"/>
      <w:numFmt w:val="decimal"/>
      <w:lvlText w:val="%1."/>
      <w:lvlJc w:val="left"/>
      <w:pPr>
        <w:ind w:left="720" w:hanging="360"/>
      </w:pPr>
      <w:rPr>
        <w:rFonts w:hint="default"/>
        <w:b/>
        <w:bCs/>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2927DE"/>
    <w:multiLevelType w:val="hybridMultilevel"/>
    <w:tmpl w:val="BCB60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1E517A"/>
    <w:multiLevelType w:val="hybridMultilevel"/>
    <w:tmpl w:val="4A4CA656"/>
    <w:lvl w:ilvl="0" w:tplc="1B60B14A">
      <w:start w:val="3"/>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BC757C"/>
    <w:multiLevelType w:val="hybridMultilevel"/>
    <w:tmpl w:val="9CE0C97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A5559E5"/>
    <w:multiLevelType w:val="hybridMultilevel"/>
    <w:tmpl w:val="ACBADBF0"/>
    <w:lvl w:ilvl="0" w:tplc="F072E4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CE24BA"/>
    <w:multiLevelType w:val="hybridMultilevel"/>
    <w:tmpl w:val="44EEB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556D8C"/>
    <w:multiLevelType w:val="hybridMultilevel"/>
    <w:tmpl w:val="9FAE5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8A3254"/>
    <w:multiLevelType w:val="hybridMultilevel"/>
    <w:tmpl w:val="84321B7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CC2A29"/>
    <w:multiLevelType w:val="multilevel"/>
    <w:tmpl w:val="A058E7C2"/>
    <w:styleLink w:val="Style7"/>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A4B32FB"/>
    <w:multiLevelType w:val="multilevel"/>
    <w:tmpl w:val="972026AE"/>
    <w:numStyleLink w:val="Style2"/>
  </w:abstractNum>
  <w:abstractNum w:abstractNumId="10" w15:restartNumberingAfterBreak="0">
    <w:nsid w:val="2B67578A"/>
    <w:multiLevelType w:val="hybridMultilevel"/>
    <w:tmpl w:val="0512E0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101705"/>
    <w:multiLevelType w:val="hybridMultilevel"/>
    <w:tmpl w:val="B5726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F003C8"/>
    <w:multiLevelType w:val="multilevel"/>
    <w:tmpl w:val="972026AE"/>
    <w:styleLink w:val="Style2"/>
    <w:lvl w:ilvl="0">
      <w:start w:val="1"/>
      <w:numFmt w:val="bullet"/>
      <w:pStyle w:val="Style3"/>
      <w:lvlText w:val="o"/>
      <w:lvlJc w:val="left"/>
      <w:pPr>
        <w:ind w:left="1080" w:hanging="360"/>
      </w:pPr>
      <w:rPr>
        <w:rFonts w:ascii="Courier New" w:hAnsi="Courier New" w:cs="Courier New" w:hint="default"/>
        <w:color w:val="000000" w:themeColor="text1"/>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352D4DEB"/>
    <w:multiLevelType w:val="hybridMultilevel"/>
    <w:tmpl w:val="CE901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FB4562"/>
    <w:multiLevelType w:val="hybridMultilevel"/>
    <w:tmpl w:val="0B0C4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D65095"/>
    <w:multiLevelType w:val="hybridMultilevel"/>
    <w:tmpl w:val="A058E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664AF7"/>
    <w:multiLevelType w:val="multilevel"/>
    <w:tmpl w:val="3DEE4226"/>
    <w:styleLink w:val="Style4"/>
    <w:lvl w:ilvl="0">
      <w:start w:val="1"/>
      <w:numFmt w:val="bullet"/>
      <w:lvlText w:val="o"/>
      <w:lvlJc w:val="left"/>
      <w:pPr>
        <w:ind w:left="1440" w:hanging="360"/>
      </w:pPr>
      <w:rPr>
        <w:rFonts w:ascii="Courier New" w:hAnsi="Courier New" w:cs="Courier New" w:hint="default"/>
        <w:color w:val="000000" w:themeColor="text1"/>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7" w15:restartNumberingAfterBreak="0">
    <w:nsid w:val="428E025D"/>
    <w:multiLevelType w:val="multilevel"/>
    <w:tmpl w:val="C03C6FD2"/>
    <w:styleLink w:val="Style8"/>
    <w:lvl w:ilvl="0">
      <w:start w:val="1"/>
      <w:numFmt w:val="bullet"/>
      <w:lvlText w:val="o"/>
      <w:lvlJc w:val="left"/>
      <w:pPr>
        <w:ind w:left="1440" w:hanging="360"/>
      </w:pPr>
      <w:rPr>
        <w:rFonts w:ascii="Courier New" w:hAnsi="Courier New" w:cs="Courier New" w:hint="default"/>
        <w:color w:val="000000" w:themeColor="text1"/>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432534A4"/>
    <w:multiLevelType w:val="multilevel"/>
    <w:tmpl w:val="C03C6FD2"/>
    <w:styleLink w:val="Style9"/>
    <w:lvl w:ilvl="0">
      <w:start w:val="1"/>
      <w:numFmt w:val="bullet"/>
      <w:lvlText w:val="o"/>
      <w:lvlJc w:val="left"/>
      <w:pPr>
        <w:ind w:left="1440" w:hanging="360"/>
      </w:pPr>
      <w:rPr>
        <w:rFonts w:ascii="Courier New" w:hAnsi="Courier New" w:cs="Courier New" w:hint="default"/>
        <w:color w:val="000000" w:themeColor="text1"/>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15:restartNumberingAfterBreak="0">
    <w:nsid w:val="43BC4936"/>
    <w:multiLevelType w:val="hybridMultilevel"/>
    <w:tmpl w:val="AB324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CA5ACD"/>
    <w:multiLevelType w:val="hybridMultilevel"/>
    <w:tmpl w:val="1EDAE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EA0DF5"/>
    <w:multiLevelType w:val="hybridMultilevel"/>
    <w:tmpl w:val="398C3EA6"/>
    <w:lvl w:ilvl="0" w:tplc="4626B622">
      <w:start w:val="1"/>
      <w:numFmt w:val="bullet"/>
      <w:lvlText w:val=""/>
      <w:lvlJc w:val="left"/>
      <w:pPr>
        <w:ind w:left="1863" w:hanging="360"/>
      </w:pPr>
      <w:rPr>
        <w:rFonts w:ascii="Symbol" w:hAnsi="Symbol" w:hint="default"/>
        <w:color w:val="auto"/>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22" w15:restartNumberingAfterBreak="0">
    <w:nsid w:val="4872782A"/>
    <w:multiLevelType w:val="hybridMultilevel"/>
    <w:tmpl w:val="2E3E720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0B21399"/>
    <w:multiLevelType w:val="hybridMultilevel"/>
    <w:tmpl w:val="EEFCC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4B3B1A"/>
    <w:multiLevelType w:val="hybridMultilevel"/>
    <w:tmpl w:val="1F16D75A"/>
    <w:lvl w:ilvl="0" w:tplc="4626B622">
      <w:start w:val="1"/>
      <w:numFmt w:val="bullet"/>
      <w:lvlText w:val=""/>
      <w:lvlJc w:val="left"/>
      <w:pPr>
        <w:ind w:left="786" w:hanging="360"/>
      </w:pPr>
      <w:rPr>
        <w:rFonts w:ascii="Symbol" w:hAnsi="Symbol" w:hint="default"/>
        <w:color w:val="auto"/>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5" w15:restartNumberingAfterBreak="0">
    <w:nsid w:val="55AB5AEE"/>
    <w:multiLevelType w:val="hybridMultilevel"/>
    <w:tmpl w:val="1B969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FE73C0"/>
    <w:multiLevelType w:val="hybridMultilevel"/>
    <w:tmpl w:val="D7406B16"/>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7" w15:restartNumberingAfterBreak="0">
    <w:nsid w:val="63812541"/>
    <w:multiLevelType w:val="hybridMultilevel"/>
    <w:tmpl w:val="716E11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F0318D"/>
    <w:multiLevelType w:val="hybridMultilevel"/>
    <w:tmpl w:val="5DE81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6E09B9"/>
    <w:multiLevelType w:val="hybridMultilevel"/>
    <w:tmpl w:val="32E60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821C33"/>
    <w:multiLevelType w:val="multilevel"/>
    <w:tmpl w:val="C03C6FD2"/>
    <w:numStyleLink w:val="Style8"/>
  </w:abstractNum>
  <w:abstractNum w:abstractNumId="31" w15:restartNumberingAfterBreak="0">
    <w:nsid w:val="7B9735BD"/>
    <w:multiLevelType w:val="multilevel"/>
    <w:tmpl w:val="EDFEAFA4"/>
    <w:styleLink w:val="Style5"/>
    <w:lvl w:ilvl="0">
      <w:start w:val="1"/>
      <w:numFmt w:val="bullet"/>
      <w:lvlText w:val="o"/>
      <w:lvlJc w:val="left"/>
      <w:pPr>
        <w:ind w:left="1440" w:hanging="360"/>
      </w:pPr>
      <w:rPr>
        <w:rFonts w:ascii="Courier New" w:hAnsi="Courier New" w:cs="Courier New" w:hint="default"/>
        <w:color w:val="000000" w:themeColor="text1"/>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2" w15:restartNumberingAfterBreak="0">
    <w:nsid w:val="7D10348B"/>
    <w:multiLevelType w:val="hybridMultilevel"/>
    <w:tmpl w:val="E032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7014848">
    <w:abstractNumId w:val="29"/>
  </w:num>
  <w:num w:numId="2" w16cid:durableId="2145002660">
    <w:abstractNumId w:val="27"/>
  </w:num>
  <w:num w:numId="3" w16cid:durableId="949513080">
    <w:abstractNumId w:val="15"/>
  </w:num>
  <w:num w:numId="4" w16cid:durableId="1069615186">
    <w:abstractNumId w:val="26"/>
  </w:num>
  <w:num w:numId="5" w16cid:durableId="1170681439">
    <w:abstractNumId w:val="13"/>
  </w:num>
  <w:num w:numId="6" w16cid:durableId="1983073643">
    <w:abstractNumId w:val="3"/>
  </w:num>
  <w:num w:numId="7" w16cid:durableId="1002515591">
    <w:abstractNumId w:val="12"/>
  </w:num>
  <w:num w:numId="8" w16cid:durableId="150830926">
    <w:abstractNumId w:val="9"/>
  </w:num>
  <w:num w:numId="9" w16cid:durableId="796098400">
    <w:abstractNumId w:val="16"/>
  </w:num>
  <w:num w:numId="10" w16cid:durableId="1549757312">
    <w:abstractNumId w:val="31"/>
  </w:num>
  <w:num w:numId="11" w16cid:durableId="2005473485">
    <w:abstractNumId w:val="0"/>
  </w:num>
  <w:num w:numId="12" w16cid:durableId="337780450">
    <w:abstractNumId w:val="8"/>
  </w:num>
  <w:num w:numId="13" w16cid:durableId="1560896294">
    <w:abstractNumId w:val="17"/>
  </w:num>
  <w:num w:numId="14" w16cid:durableId="1981228794">
    <w:abstractNumId w:val="30"/>
  </w:num>
  <w:num w:numId="15" w16cid:durableId="1061709069">
    <w:abstractNumId w:val="18"/>
  </w:num>
  <w:num w:numId="16" w16cid:durableId="1229072422">
    <w:abstractNumId w:val="4"/>
  </w:num>
  <w:num w:numId="17" w16cid:durableId="1699773473">
    <w:abstractNumId w:val="25"/>
  </w:num>
  <w:num w:numId="18" w16cid:durableId="406075322">
    <w:abstractNumId w:val="1"/>
  </w:num>
  <w:num w:numId="19" w16cid:durableId="2026513451">
    <w:abstractNumId w:val="20"/>
  </w:num>
  <w:num w:numId="20" w16cid:durableId="1719551150">
    <w:abstractNumId w:val="10"/>
  </w:num>
  <w:num w:numId="21" w16cid:durableId="2056805642">
    <w:abstractNumId w:val="5"/>
  </w:num>
  <w:num w:numId="22" w16cid:durableId="1753042630">
    <w:abstractNumId w:val="24"/>
  </w:num>
  <w:num w:numId="23" w16cid:durableId="1980836898">
    <w:abstractNumId w:val="21"/>
  </w:num>
  <w:num w:numId="24" w16cid:durableId="2140294993">
    <w:abstractNumId w:val="2"/>
  </w:num>
  <w:num w:numId="25" w16cid:durableId="58404644">
    <w:abstractNumId w:val="7"/>
  </w:num>
  <w:num w:numId="26" w16cid:durableId="1232933606">
    <w:abstractNumId w:val="14"/>
  </w:num>
  <w:num w:numId="27" w16cid:durableId="1286039874">
    <w:abstractNumId w:val="19"/>
  </w:num>
  <w:num w:numId="28" w16cid:durableId="587738021">
    <w:abstractNumId w:val="22"/>
  </w:num>
  <w:num w:numId="29" w16cid:durableId="549918970">
    <w:abstractNumId w:val="28"/>
  </w:num>
  <w:num w:numId="30" w16cid:durableId="896934835">
    <w:abstractNumId w:val="23"/>
  </w:num>
  <w:num w:numId="31" w16cid:durableId="977731754">
    <w:abstractNumId w:val="11"/>
  </w:num>
  <w:num w:numId="32" w16cid:durableId="1280457624">
    <w:abstractNumId w:val="32"/>
  </w:num>
  <w:num w:numId="33" w16cid:durableId="1563367762">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E32"/>
    <w:rsid w:val="00001A7C"/>
    <w:rsid w:val="000039B6"/>
    <w:rsid w:val="000054AD"/>
    <w:rsid w:val="00005B52"/>
    <w:rsid w:val="00005E08"/>
    <w:rsid w:val="000060B4"/>
    <w:rsid w:val="00011118"/>
    <w:rsid w:val="00011E36"/>
    <w:rsid w:val="00012198"/>
    <w:rsid w:val="00013201"/>
    <w:rsid w:val="000137AF"/>
    <w:rsid w:val="00014595"/>
    <w:rsid w:val="00014C2B"/>
    <w:rsid w:val="00014D24"/>
    <w:rsid w:val="00015080"/>
    <w:rsid w:val="00017245"/>
    <w:rsid w:val="00017B85"/>
    <w:rsid w:val="000200D4"/>
    <w:rsid w:val="00020C64"/>
    <w:rsid w:val="00020D4C"/>
    <w:rsid w:val="000228F0"/>
    <w:rsid w:val="0002313C"/>
    <w:rsid w:val="00024C93"/>
    <w:rsid w:val="00025E4B"/>
    <w:rsid w:val="00027C99"/>
    <w:rsid w:val="00030029"/>
    <w:rsid w:val="000322F9"/>
    <w:rsid w:val="00032A64"/>
    <w:rsid w:val="00032C18"/>
    <w:rsid w:val="000338DE"/>
    <w:rsid w:val="0003596E"/>
    <w:rsid w:val="000368F0"/>
    <w:rsid w:val="00036B96"/>
    <w:rsid w:val="0003705D"/>
    <w:rsid w:val="000374C6"/>
    <w:rsid w:val="00037ACA"/>
    <w:rsid w:val="0004124D"/>
    <w:rsid w:val="000420F1"/>
    <w:rsid w:val="0004277F"/>
    <w:rsid w:val="00042CEE"/>
    <w:rsid w:val="000457F8"/>
    <w:rsid w:val="0004654F"/>
    <w:rsid w:val="000467F9"/>
    <w:rsid w:val="0004789B"/>
    <w:rsid w:val="000501B6"/>
    <w:rsid w:val="0005074C"/>
    <w:rsid w:val="00050D6D"/>
    <w:rsid w:val="00051296"/>
    <w:rsid w:val="00052210"/>
    <w:rsid w:val="000524A4"/>
    <w:rsid w:val="00052CDF"/>
    <w:rsid w:val="00052EAE"/>
    <w:rsid w:val="00053460"/>
    <w:rsid w:val="00054812"/>
    <w:rsid w:val="000561E0"/>
    <w:rsid w:val="000563F5"/>
    <w:rsid w:val="00057190"/>
    <w:rsid w:val="00057C5E"/>
    <w:rsid w:val="00057F62"/>
    <w:rsid w:val="0006090C"/>
    <w:rsid w:val="0006366F"/>
    <w:rsid w:val="00064BDE"/>
    <w:rsid w:val="000665B4"/>
    <w:rsid w:val="00067777"/>
    <w:rsid w:val="00070D6A"/>
    <w:rsid w:val="000713BD"/>
    <w:rsid w:val="00072D89"/>
    <w:rsid w:val="0007350C"/>
    <w:rsid w:val="000740C7"/>
    <w:rsid w:val="00074AD9"/>
    <w:rsid w:val="000800E8"/>
    <w:rsid w:val="00080631"/>
    <w:rsid w:val="00080F92"/>
    <w:rsid w:val="00081A9B"/>
    <w:rsid w:val="00081D47"/>
    <w:rsid w:val="000822EC"/>
    <w:rsid w:val="000824CC"/>
    <w:rsid w:val="00082B4C"/>
    <w:rsid w:val="00082C72"/>
    <w:rsid w:val="00083544"/>
    <w:rsid w:val="00083B0B"/>
    <w:rsid w:val="00083BB2"/>
    <w:rsid w:val="00084769"/>
    <w:rsid w:val="000848E6"/>
    <w:rsid w:val="00085A70"/>
    <w:rsid w:val="00086FE5"/>
    <w:rsid w:val="0008710E"/>
    <w:rsid w:val="00087944"/>
    <w:rsid w:val="00087B86"/>
    <w:rsid w:val="00090BA4"/>
    <w:rsid w:val="0009189C"/>
    <w:rsid w:val="0009233D"/>
    <w:rsid w:val="0009340F"/>
    <w:rsid w:val="0009501C"/>
    <w:rsid w:val="0009595B"/>
    <w:rsid w:val="00096346"/>
    <w:rsid w:val="000968EB"/>
    <w:rsid w:val="00096B06"/>
    <w:rsid w:val="00096CF5"/>
    <w:rsid w:val="00097367"/>
    <w:rsid w:val="00097E45"/>
    <w:rsid w:val="00097EDE"/>
    <w:rsid w:val="000A0B42"/>
    <w:rsid w:val="000A17DE"/>
    <w:rsid w:val="000A1F16"/>
    <w:rsid w:val="000A227F"/>
    <w:rsid w:val="000A2929"/>
    <w:rsid w:val="000A2B65"/>
    <w:rsid w:val="000A2C9C"/>
    <w:rsid w:val="000A4C9D"/>
    <w:rsid w:val="000A4CEC"/>
    <w:rsid w:val="000A5DC2"/>
    <w:rsid w:val="000A66A8"/>
    <w:rsid w:val="000A6CB8"/>
    <w:rsid w:val="000A75C2"/>
    <w:rsid w:val="000A7A46"/>
    <w:rsid w:val="000B09FC"/>
    <w:rsid w:val="000B0ECE"/>
    <w:rsid w:val="000B1E8A"/>
    <w:rsid w:val="000B1E8D"/>
    <w:rsid w:val="000B3172"/>
    <w:rsid w:val="000B51D0"/>
    <w:rsid w:val="000B6A06"/>
    <w:rsid w:val="000B6CEC"/>
    <w:rsid w:val="000B758F"/>
    <w:rsid w:val="000C13D5"/>
    <w:rsid w:val="000C1576"/>
    <w:rsid w:val="000C2833"/>
    <w:rsid w:val="000C3785"/>
    <w:rsid w:val="000C3A4B"/>
    <w:rsid w:val="000C4119"/>
    <w:rsid w:val="000C47B2"/>
    <w:rsid w:val="000C4B4D"/>
    <w:rsid w:val="000C5E0E"/>
    <w:rsid w:val="000C64FB"/>
    <w:rsid w:val="000C681C"/>
    <w:rsid w:val="000C6DCC"/>
    <w:rsid w:val="000D008D"/>
    <w:rsid w:val="000D05F2"/>
    <w:rsid w:val="000D270B"/>
    <w:rsid w:val="000D282F"/>
    <w:rsid w:val="000D393E"/>
    <w:rsid w:val="000D3AED"/>
    <w:rsid w:val="000D5293"/>
    <w:rsid w:val="000D6329"/>
    <w:rsid w:val="000D6820"/>
    <w:rsid w:val="000E024A"/>
    <w:rsid w:val="000E08B7"/>
    <w:rsid w:val="000E2881"/>
    <w:rsid w:val="000E42B1"/>
    <w:rsid w:val="000E43FB"/>
    <w:rsid w:val="000E4456"/>
    <w:rsid w:val="000E5191"/>
    <w:rsid w:val="000E56D6"/>
    <w:rsid w:val="000E60C9"/>
    <w:rsid w:val="000E7ACD"/>
    <w:rsid w:val="000E7E43"/>
    <w:rsid w:val="000F00D1"/>
    <w:rsid w:val="000F1104"/>
    <w:rsid w:val="000F1250"/>
    <w:rsid w:val="000F2587"/>
    <w:rsid w:val="000F26C2"/>
    <w:rsid w:val="000F3C75"/>
    <w:rsid w:val="000F52AC"/>
    <w:rsid w:val="000F6FC2"/>
    <w:rsid w:val="000F7615"/>
    <w:rsid w:val="00100CB9"/>
    <w:rsid w:val="00100E0F"/>
    <w:rsid w:val="00101AC5"/>
    <w:rsid w:val="00102514"/>
    <w:rsid w:val="00102BA8"/>
    <w:rsid w:val="00103198"/>
    <w:rsid w:val="001034EE"/>
    <w:rsid w:val="00103578"/>
    <w:rsid w:val="00105387"/>
    <w:rsid w:val="001108FC"/>
    <w:rsid w:val="00111A98"/>
    <w:rsid w:val="0011323F"/>
    <w:rsid w:val="00113637"/>
    <w:rsid w:val="0011433D"/>
    <w:rsid w:val="00114A00"/>
    <w:rsid w:val="00114DB9"/>
    <w:rsid w:val="00114F8F"/>
    <w:rsid w:val="00115227"/>
    <w:rsid w:val="0011560B"/>
    <w:rsid w:val="00115C97"/>
    <w:rsid w:val="00116505"/>
    <w:rsid w:val="00120C28"/>
    <w:rsid w:val="001223AE"/>
    <w:rsid w:val="00122C95"/>
    <w:rsid w:val="001230D9"/>
    <w:rsid w:val="00123CAC"/>
    <w:rsid w:val="00123E58"/>
    <w:rsid w:val="00124992"/>
    <w:rsid w:val="00124BF5"/>
    <w:rsid w:val="00124EC1"/>
    <w:rsid w:val="001256BA"/>
    <w:rsid w:val="00125E4C"/>
    <w:rsid w:val="00126204"/>
    <w:rsid w:val="00127121"/>
    <w:rsid w:val="0012742B"/>
    <w:rsid w:val="00127456"/>
    <w:rsid w:val="00127E99"/>
    <w:rsid w:val="001300E4"/>
    <w:rsid w:val="001315DA"/>
    <w:rsid w:val="00131F40"/>
    <w:rsid w:val="00132104"/>
    <w:rsid w:val="001325F3"/>
    <w:rsid w:val="00132998"/>
    <w:rsid w:val="00133B05"/>
    <w:rsid w:val="00133DDB"/>
    <w:rsid w:val="00136793"/>
    <w:rsid w:val="00136D45"/>
    <w:rsid w:val="0013752B"/>
    <w:rsid w:val="00140492"/>
    <w:rsid w:val="0014222D"/>
    <w:rsid w:val="00143C29"/>
    <w:rsid w:val="0014405B"/>
    <w:rsid w:val="0014416B"/>
    <w:rsid w:val="00145834"/>
    <w:rsid w:val="00146F99"/>
    <w:rsid w:val="0014731A"/>
    <w:rsid w:val="001473ED"/>
    <w:rsid w:val="0014774E"/>
    <w:rsid w:val="00147BF4"/>
    <w:rsid w:val="00147DE5"/>
    <w:rsid w:val="00150756"/>
    <w:rsid w:val="001509F9"/>
    <w:rsid w:val="00151E54"/>
    <w:rsid w:val="00151F50"/>
    <w:rsid w:val="0015235E"/>
    <w:rsid w:val="001529A2"/>
    <w:rsid w:val="00153C2E"/>
    <w:rsid w:val="00153EAD"/>
    <w:rsid w:val="00154E93"/>
    <w:rsid w:val="001552FC"/>
    <w:rsid w:val="00155FA4"/>
    <w:rsid w:val="0015618D"/>
    <w:rsid w:val="00156650"/>
    <w:rsid w:val="00156BCE"/>
    <w:rsid w:val="0015771F"/>
    <w:rsid w:val="001577AC"/>
    <w:rsid w:val="00157A61"/>
    <w:rsid w:val="00157CBD"/>
    <w:rsid w:val="00157FBB"/>
    <w:rsid w:val="00160B58"/>
    <w:rsid w:val="00162A09"/>
    <w:rsid w:val="00163349"/>
    <w:rsid w:val="00163691"/>
    <w:rsid w:val="00164C4F"/>
    <w:rsid w:val="001657C9"/>
    <w:rsid w:val="001657F0"/>
    <w:rsid w:val="00165CA2"/>
    <w:rsid w:val="00166108"/>
    <w:rsid w:val="001664A9"/>
    <w:rsid w:val="0016676C"/>
    <w:rsid w:val="001720AB"/>
    <w:rsid w:val="001731EF"/>
    <w:rsid w:val="0017425B"/>
    <w:rsid w:val="001747CC"/>
    <w:rsid w:val="00174FBD"/>
    <w:rsid w:val="00176E1E"/>
    <w:rsid w:val="00177284"/>
    <w:rsid w:val="00177A3C"/>
    <w:rsid w:val="0018050A"/>
    <w:rsid w:val="00180735"/>
    <w:rsid w:val="00180798"/>
    <w:rsid w:val="00180D27"/>
    <w:rsid w:val="00181CFA"/>
    <w:rsid w:val="00181F8A"/>
    <w:rsid w:val="001839BD"/>
    <w:rsid w:val="00183B55"/>
    <w:rsid w:val="001845A5"/>
    <w:rsid w:val="0018625A"/>
    <w:rsid w:val="001868A3"/>
    <w:rsid w:val="00191105"/>
    <w:rsid w:val="001944F1"/>
    <w:rsid w:val="0019513C"/>
    <w:rsid w:val="00195EA7"/>
    <w:rsid w:val="00196AE5"/>
    <w:rsid w:val="00196C78"/>
    <w:rsid w:val="001973DF"/>
    <w:rsid w:val="001A04B0"/>
    <w:rsid w:val="001A0BA3"/>
    <w:rsid w:val="001A0EBE"/>
    <w:rsid w:val="001A16E6"/>
    <w:rsid w:val="001A27DB"/>
    <w:rsid w:val="001A2FBA"/>
    <w:rsid w:val="001A3440"/>
    <w:rsid w:val="001A60C9"/>
    <w:rsid w:val="001A6972"/>
    <w:rsid w:val="001A7578"/>
    <w:rsid w:val="001A7669"/>
    <w:rsid w:val="001A7871"/>
    <w:rsid w:val="001B086D"/>
    <w:rsid w:val="001B0AB0"/>
    <w:rsid w:val="001B0E64"/>
    <w:rsid w:val="001B1A98"/>
    <w:rsid w:val="001B1FFE"/>
    <w:rsid w:val="001B219F"/>
    <w:rsid w:val="001B3417"/>
    <w:rsid w:val="001B414F"/>
    <w:rsid w:val="001B45AD"/>
    <w:rsid w:val="001B4943"/>
    <w:rsid w:val="001B4A44"/>
    <w:rsid w:val="001B660C"/>
    <w:rsid w:val="001B77DA"/>
    <w:rsid w:val="001B7C7E"/>
    <w:rsid w:val="001B7ECB"/>
    <w:rsid w:val="001C05F4"/>
    <w:rsid w:val="001C0F33"/>
    <w:rsid w:val="001C12B1"/>
    <w:rsid w:val="001C167F"/>
    <w:rsid w:val="001C1D68"/>
    <w:rsid w:val="001C28DB"/>
    <w:rsid w:val="001C2BA8"/>
    <w:rsid w:val="001C5166"/>
    <w:rsid w:val="001C601F"/>
    <w:rsid w:val="001C66FA"/>
    <w:rsid w:val="001C7C04"/>
    <w:rsid w:val="001D092C"/>
    <w:rsid w:val="001D0E3E"/>
    <w:rsid w:val="001D0FE6"/>
    <w:rsid w:val="001D1A7E"/>
    <w:rsid w:val="001D3495"/>
    <w:rsid w:val="001D39AE"/>
    <w:rsid w:val="001D3BF8"/>
    <w:rsid w:val="001D4468"/>
    <w:rsid w:val="001D4D86"/>
    <w:rsid w:val="001D553A"/>
    <w:rsid w:val="001D597C"/>
    <w:rsid w:val="001D6AE2"/>
    <w:rsid w:val="001D7161"/>
    <w:rsid w:val="001D7669"/>
    <w:rsid w:val="001E113F"/>
    <w:rsid w:val="001E1644"/>
    <w:rsid w:val="001E42E5"/>
    <w:rsid w:val="001E4BAB"/>
    <w:rsid w:val="001E5E6A"/>
    <w:rsid w:val="001E70E3"/>
    <w:rsid w:val="001F0ADB"/>
    <w:rsid w:val="001F14E8"/>
    <w:rsid w:val="001F3951"/>
    <w:rsid w:val="001F3A3D"/>
    <w:rsid w:val="001F5483"/>
    <w:rsid w:val="001F5495"/>
    <w:rsid w:val="001F6B3B"/>
    <w:rsid w:val="001F73C1"/>
    <w:rsid w:val="001F777C"/>
    <w:rsid w:val="001F7D5C"/>
    <w:rsid w:val="00200A09"/>
    <w:rsid w:val="00201B49"/>
    <w:rsid w:val="00203678"/>
    <w:rsid w:val="00203788"/>
    <w:rsid w:val="00206BBD"/>
    <w:rsid w:val="00206C9F"/>
    <w:rsid w:val="00206E64"/>
    <w:rsid w:val="002073AF"/>
    <w:rsid w:val="00207F1E"/>
    <w:rsid w:val="00207F73"/>
    <w:rsid w:val="002103F6"/>
    <w:rsid w:val="00212789"/>
    <w:rsid w:val="00212C2E"/>
    <w:rsid w:val="00212D29"/>
    <w:rsid w:val="00213765"/>
    <w:rsid w:val="0021514C"/>
    <w:rsid w:val="00215766"/>
    <w:rsid w:val="00220BA1"/>
    <w:rsid w:val="00220DFF"/>
    <w:rsid w:val="00221450"/>
    <w:rsid w:val="0022155D"/>
    <w:rsid w:val="002231DF"/>
    <w:rsid w:val="00224DC6"/>
    <w:rsid w:val="0022589A"/>
    <w:rsid w:val="00225A59"/>
    <w:rsid w:val="0022749C"/>
    <w:rsid w:val="00227674"/>
    <w:rsid w:val="00231706"/>
    <w:rsid w:val="00231A97"/>
    <w:rsid w:val="00231D90"/>
    <w:rsid w:val="00232780"/>
    <w:rsid w:val="00235A3E"/>
    <w:rsid w:val="00236FFF"/>
    <w:rsid w:val="00237397"/>
    <w:rsid w:val="0024008D"/>
    <w:rsid w:val="00241131"/>
    <w:rsid w:val="00241217"/>
    <w:rsid w:val="00241ED2"/>
    <w:rsid w:val="0024238C"/>
    <w:rsid w:val="002435FA"/>
    <w:rsid w:val="002442F8"/>
    <w:rsid w:val="002454F1"/>
    <w:rsid w:val="00245920"/>
    <w:rsid w:val="00245A87"/>
    <w:rsid w:val="00246488"/>
    <w:rsid w:val="00246F47"/>
    <w:rsid w:val="002501E3"/>
    <w:rsid w:val="002534D0"/>
    <w:rsid w:val="002537A2"/>
    <w:rsid w:val="002557CE"/>
    <w:rsid w:val="00257773"/>
    <w:rsid w:val="00257D7B"/>
    <w:rsid w:val="002604ED"/>
    <w:rsid w:val="00260859"/>
    <w:rsid w:val="00260F77"/>
    <w:rsid w:val="00261534"/>
    <w:rsid w:val="00261B83"/>
    <w:rsid w:val="0026266D"/>
    <w:rsid w:val="002642B5"/>
    <w:rsid w:val="002645C9"/>
    <w:rsid w:val="00265549"/>
    <w:rsid w:val="00265D9F"/>
    <w:rsid w:val="00265F53"/>
    <w:rsid w:val="00266567"/>
    <w:rsid w:val="00266A36"/>
    <w:rsid w:val="00267464"/>
    <w:rsid w:val="00267A87"/>
    <w:rsid w:val="00267EB8"/>
    <w:rsid w:val="002710A2"/>
    <w:rsid w:val="0027241D"/>
    <w:rsid w:val="002728D8"/>
    <w:rsid w:val="00272CC8"/>
    <w:rsid w:val="00273E18"/>
    <w:rsid w:val="0027498B"/>
    <w:rsid w:val="00275391"/>
    <w:rsid w:val="00275B11"/>
    <w:rsid w:val="00275EA0"/>
    <w:rsid w:val="00280537"/>
    <w:rsid w:val="0028195C"/>
    <w:rsid w:val="00282582"/>
    <w:rsid w:val="002827DA"/>
    <w:rsid w:val="00285EAC"/>
    <w:rsid w:val="00286EB9"/>
    <w:rsid w:val="00287229"/>
    <w:rsid w:val="002874E8"/>
    <w:rsid w:val="00290670"/>
    <w:rsid w:val="00290A66"/>
    <w:rsid w:val="00290F54"/>
    <w:rsid w:val="00291340"/>
    <w:rsid w:val="00291B46"/>
    <w:rsid w:val="00292257"/>
    <w:rsid w:val="00296465"/>
    <w:rsid w:val="00296CC1"/>
    <w:rsid w:val="002A019D"/>
    <w:rsid w:val="002A2467"/>
    <w:rsid w:val="002A2DD7"/>
    <w:rsid w:val="002A3740"/>
    <w:rsid w:val="002A3F64"/>
    <w:rsid w:val="002A5767"/>
    <w:rsid w:val="002A596C"/>
    <w:rsid w:val="002A6080"/>
    <w:rsid w:val="002A64A7"/>
    <w:rsid w:val="002A721E"/>
    <w:rsid w:val="002B0AB7"/>
    <w:rsid w:val="002B0C11"/>
    <w:rsid w:val="002B12D4"/>
    <w:rsid w:val="002B19C8"/>
    <w:rsid w:val="002B1AB0"/>
    <w:rsid w:val="002B1D38"/>
    <w:rsid w:val="002B4219"/>
    <w:rsid w:val="002B5570"/>
    <w:rsid w:val="002B5DD4"/>
    <w:rsid w:val="002B635D"/>
    <w:rsid w:val="002B7A6E"/>
    <w:rsid w:val="002B7E06"/>
    <w:rsid w:val="002C180E"/>
    <w:rsid w:val="002C1AE2"/>
    <w:rsid w:val="002C3DCA"/>
    <w:rsid w:val="002C53A3"/>
    <w:rsid w:val="002C56BE"/>
    <w:rsid w:val="002C6146"/>
    <w:rsid w:val="002C646D"/>
    <w:rsid w:val="002C7744"/>
    <w:rsid w:val="002C7E9A"/>
    <w:rsid w:val="002D152B"/>
    <w:rsid w:val="002D23F6"/>
    <w:rsid w:val="002D2D7A"/>
    <w:rsid w:val="002D3642"/>
    <w:rsid w:val="002D4C5C"/>
    <w:rsid w:val="002D4F17"/>
    <w:rsid w:val="002D4F45"/>
    <w:rsid w:val="002D5735"/>
    <w:rsid w:val="002D6C49"/>
    <w:rsid w:val="002D7173"/>
    <w:rsid w:val="002D76B1"/>
    <w:rsid w:val="002D7ECE"/>
    <w:rsid w:val="002E056F"/>
    <w:rsid w:val="002E0AEE"/>
    <w:rsid w:val="002E298F"/>
    <w:rsid w:val="002E32AE"/>
    <w:rsid w:val="002E3A23"/>
    <w:rsid w:val="002E3D72"/>
    <w:rsid w:val="002E4635"/>
    <w:rsid w:val="002E479F"/>
    <w:rsid w:val="002E49F0"/>
    <w:rsid w:val="002E5481"/>
    <w:rsid w:val="002E57AE"/>
    <w:rsid w:val="002E57B8"/>
    <w:rsid w:val="002F1059"/>
    <w:rsid w:val="002F2172"/>
    <w:rsid w:val="002F2279"/>
    <w:rsid w:val="002F23CE"/>
    <w:rsid w:val="002F25DE"/>
    <w:rsid w:val="002F2F28"/>
    <w:rsid w:val="002F3C27"/>
    <w:rsid w:val="002F3C44"/>
    <w:rsid w:val="002F3D02"/>
    <w:rsid w:val="002F43A1"/>
    <w:rsid w:val="002F4587"/>
    <w:rsid w:val="002F77A8"/>
    <w:rsid w:val="002F7D52"/>
    <w:rsid w:val="00300630"/>
    <w:rsid w:val="00300EEF"/>
    <w:rsid w:val="00302637"/>
    <w:rsid w:val="0030300C"/>
    <w:rsid w:val="00303696"/>
    <w:rsid w:val="00303798"/>
    <w:rsid w:val="003040E3"/>
    <w:rsid w:val="00304106"/>
    <w:rsid w:val="0030576B"/>
    <w:rsid w:val="00306FD4"/>
    <w:rsid w:val="00307649"/>
    <w:rsid w:val="00307AC6"/>
    <w:rsid w:val="003109A1"/>
    <w:rsid w:val="00313389"/>
    <w:rsid w:val="00314389"/>
    <w:rsid w:val="00315082"/>
    <w:rsid w:val="00316643"/>
    <w:rsid w:val="00317B47"/>
    <w:rsid w:val="00317F14"/>
    <w:rsid w:val="00320131"/>
    <w:rsid w:val="003204CD"/>
    <w:rsid w:val="00320A7F"/>
    <w:rsid w:val="00320AB2"/>
    <w:rsid w:val="00320C94"/>
    <w:rsid w:val="003215E9"/>
    <w:rsid w:val="00322871"/>
    <w:rsid w:val="00325A0E"/>
    <w:rsid w:val="003262C3"/>
    <w:rsid w:val="0032653A"/>
    <w:rsid w:val="00327B9C"/>
    <w:rsid w:val="00330E96"/>
    <w:rsid w:val="0033128A"/>
    <w:rsid w:val="003312F0"/>
    <w:rsid w:val="003321A7"/>
    <w:rsid w:val="0033376F"/>
    <w:rsid w:val="00333978"/>
    <w:rsid w:val="00333AB6"/>
    <w:rsid w:val="00334CCE"/>
    <w:rsid w:val="0033541F"/>
    <w:rsid w:val="00336015"/>
    <w:rsid w:val="0033775C"/>
    <w:rsid w:val="00342346"/>
    <w:rsid w:val="0034288F"/>
    <w:rsid w:val="003428BC"/>
    <w:rsid w:val="0034381F"/>
    <w:rsid w:val="003510D7"/>
    <w:rsid w:val="00351693"/>
    <w:rsid w:val="0035224C"/>
    <w:rsid w:val="003522A0"/>
    <w:rsid w:val="00354491"/>
    <w:rsid w:val="003550B2"/>
    <w:rsid w:val="003557E4"/>
    <w:rsid w:val="003558B4"/>
    <w:rsid w:val="0035646F"/>
    <w:rsid w:val="003568F4"/>
    <w:rsid w:val="00356E4D"/>
    <w:rsid w:val="00357E48"/>
    <w:rsid w:val="00360033"/>
    <w:rsid w:val="003608B0"/>
    <w:rsid w:val="0036152E"/>
    <w:rsid w:val="00361682"/>
    <w:rsid w:val="003616C0"/>
    <w:rsid w:val="0036238D"/>
    <w:rsid w:val="00362834"/>
    <w:rsid w:val="003629B0"/>
    <w:rsid w:val="003639E2"/>
    <w:rsid w:val="00364A5C"/>
    <w:rsid w:val="00367321"/>
    <w:rsid w:val="003707FE"/>
    <w:rsid w:val="00370E4B"/>
    <w:rsid w:val="003720C2"/>
    <w:rsid w:val="003722D5"/>
    <w:rsid w:val="00372725"/>
    <w:rsid w:val="003736CE"/>
    <w:rsid w:val="003742D3"/>
    <w:rsid w:val="003764E9"/>
    <w:rsid w:val="0037683F"/>
    <w:rsid w:val="003779A6"/>
    <w:rsid w:val="003801BC"/>
    <w:rsid w:val="00381EC5"/>
    <w:rsid w:val="003822D6"/>
    <w:rsid w:val="00382BD3"/>
    <w:rsid w:val="00385421"/>
    <w:rsid w:val="00385FB6"/>
    <w:rsid w:val="00390387"/>
    <w:rsid w:val="003906ED"/>
    <w:rsid w:val="00391561"/>
    <w:rsid w:val="00391E45"/>
    <w:rsid w:val="0039215C"/>
    <w:rsid w:val="00392BD4"/>
    <w:rsid w:val="003937AB"/>
    <w:rsid w:val="00393BDF"/>
    <w:rsid w:val="003951BB"/>
    <w:rsid w:val="003951E3"/>
    <w:rsid w:val="00395FF4"/>
    <w:rsid w:val="00396C24"/>
    <w:rsid w:val="00397145"/>
    <w:rsid w:val="00397EB3"/>
    <w:rsid w:val="003A038B"/>
    <w:rsid w:val="003A053B"/>
    <w:rsid w:val="003A0752"/>
    <w:rsid w:val="003A195A"/>
    <w:rsid w:val="003A1C50"/>
    <w:rsid w:val="003A277D"/>
    <w:rsid w:val="003A3085"/>
    <w:rsid w:val="003A38B1"/>
    <w:rsid w:val="003A3F61"/>
    <w:rsid w:val="003A70CF"/>
    <w:rsid w:val="003A71DC"/>
    <w:rsid w:val="003B0533"/>
    <w:rsid w:val="003B0E18"/>
    <w:rsid w:val="003B14CA"/>
    <w:rsid w:val="003B178A"/>
    <w:rsid w:val="003B21EE"/>
    <w:rsid w:val="003B2AA9"/>
    <w:rsid w:val="003B2D0F"/>
    <w:rsid w:val="003B370C"/>
    <w:rsid w:val="003B424A"/>
    <w:rsid w:val="003B46AE"/>
    <w:rsid w:val="003B517E"/>
    <w:rsid w:val="003B51CD"/>
    <w:rsid w:val="003B62C0"/>
    <w:rsid w:val="003B6648"/>
    <w:rsid w:val="003B6766"/>
    <w:rsid w:val="003B6C72"/>
    <w:rsid w:val="003B7172"/>
    <w:rsid w:val="003B72A5"/>
    <w:rsid w:val="003B760C"/>
    <w:rsid w:val="003C1C52"/>
    <w:rsid w:val="003C2C09"/>
    <w:rsid w:val="003C2FFC"/>
    <w:rsid w:val="003C45F5"/>
    <w:rsid w:val="003C4AEF"/>
    <w:rsid w:val="003C5555"/>
    <w:rsid w:val="003C5768"/>
    <w:rsid w:val="003C5E09"/>
    <w:rsid w:val="003C603E"/>
    <w:rsid w:val="003C6454"/>
    <w:rsid w:val="003C6998"/>
    <w:rsid w:val="003C69E0"/>
    <w:rsid w:val="003C6AA9"/>
    <w:rsid w:val="003D01D0"/>
    <w:rsid w:val="003D06EC"/>
    <w:rsid w:val="003D0898"/>
    <w:rsid w:val="003D10DF"/>
    <w:rsid w:val="003D1A49"/>
    <w:rsid w:val="003D1B40"/>
    <w:rsid w:val="003D1B8D"/>
    <w:rsid w:val="003D2DD6"/>
    <w:rsid w:val="003D30A2"/>
    <w:rsid w:val="003D3128"/>
    <w:rsid w:val="003D3B15"/>
    <w:rsid w:val="003D4060"/>
    <w:rsid w:val="003D4393"/>
    <w:rsid w:val="003D5866"/>
    <w:rsid w:val="003D5EB9"/>
    <w:rsid w:val="003E02BA"/>
    <w:rsid w:val="003E0E8B"/>
    <w:rsid w:val="003E1A1B"/>
    <w:rsid w:val="003E2C61"/>
    <w:rsid w:val="003E2C89"/>
    <w:rsid w:val="003E2DEE"/>
    <w:rsid w:val="003E3277"/>
    <w:rsid w:val="003E486C"/>
    <w:rsid w:val="003E49C0"/>
    <w:rsid w:val="003E59D5"/>
    <w:rsid w:val="003E6833"/>
    <w:rsid w:val="003E71BC"/>
    <w:rsid w:val="003E7CE9"/>
    <w:rsid w:val="003E7E8B"/>
    <w:rsid w:val="003F059A"/>
    <w:rsid w:val="003F0F20"/>
    <w:rsid w:val="003F11D0"/>
    <w:rsid w:val="003F2257"/>
    <w:rsid w:val="003F28DD"/>
    <w:rsid w:val="003F386D"/>
    <w:rsid w:val="003F3F29"/>
    <w:rsid w:val="003F473B"/>
    <w:rsid w:val="003F5488"/>
    <w:rsid w:val="003F6182"/>
    <w:rsid w:val="004003AA"/>
    <w:rsid w:val="00401903"/>
    <w:rsid w:val="00403277"/>
    <w:rsid w:val="004037E6"/>
    <w:rsid w:val="0040457C"/>
    <w:rsid w:val="004116DB"/>
    <w:rsid w:val="00412A13"/>
    <w:rsid w:val="00412D88"/>
    <w:rsid w:val="00413863"/>
    <w:rsid w:val="00413B3F"/>
    <w:rsid w:val="00414191"/>
    <w:rsid w:val="00414F64"/>
    <w:rsid w:val="0041500B"/>
    <w:rsid w:val="00415470"/>
    <w:rsid w:val="00415BD0"/>
    <w:rsid w:val="00416CD8"/>
    <w:rsid w:val="00416EC5"/>
    <w:rsid w:val="00417774"/>
    <w:rsid w:val="004206DD"/>
    <w:rsid w:val="004207EA"/>
    <w:rsid w:val="004213A7"/>
    <w:rsid w:val="0042178D"/>
    <w:rsid w:val="004223DD"/>
    <w:rsid w:val="00422B80"/>
    <w:rsid w:val="00422CC6"/>
    <w:rsid w:val="0042437D"/>
    <w:rsid w:val="004255FD"/>
    <w:rsid w:val="00426992"/>
    <w:rsid w:val="00426B34"/>
    <w:rsid w:val="00430107"/>
    <w:rsid w:val="004302ED"/>
    <w:rsid w:val="004305DE"/>
    <w:rsid w:val="00431E5B"/>
    <w:rsid w:val="0043219E"/>
    <w:rsid w:val="004322BB"/>
    <w:rsid w:val="0043273B"/>
    <w:rsid w:val="00432C6B"/>
    <w:rsid w:val="0043420A"/>
    <w:rsid w:val="00435226"/>
    <w:rsid w:val="004353F5"/>
    <w:rsid w:val="00436298"/>
    <w:rsid w:val="00436951"/>
    <w:rsid w:val="00440FAB"/>
    <w:rsid w:val="00441672"/>
    <w:rsid w:val="00441CBF"/>
    <w:rsid w:val="00442642"/>
    <w:rsid w:val="00443409"/>
    <w:rsid w:val="00445595"/>
    <w:rsid w:val="00445981"/>
    <w:rsid w:val="00445FC3"/>
    <w:rsid w:val="00446283"/>
    <w:rsid w:val="00446C55"/>
    <w:rsid w:val="004473C1"/>
    <w:rsid w:val="0044795F"/>
    <w:rsid w:val="00447966"/>
    <w:rsid w:val="00450186"/>
    <w:rsid w:val="004503FF"/>
    <w:rsid w:val="004514FC"/>
    <w:rsid w:val="004527BD"/>
    <w:rsid w:val="00452A61"/>
    <w:rsid w:val="00453DDA"/>
    <w:rsid w:val="004540CE"/>
    <w:rsid w:val="004540FF"/>
    <w:rsid w:val="004542C6"/>
    <w:rsid w:val="00454B61"/>
    <w:rsid w:val="00455187"/>
    <w:rsid w:val="00456404"/>
    <w:rsid w:val="004564AC"/>
    <w:rsid w:val="004567AE"/>
    <w:rsid w:val="00456F84"/>
    <w:rsid w:val="00456FE1"/>
    <w:rsid w:val="004601B7"/>
    <w:rsid w:val="00460540"/>
    <w:rsid w:val="0046082D"/>
    <w:rsid w:val="00461578"/>
    <w:rsid w:val="004619C3"/>
    <w:rsid w:val="00461FE2"/>
    <w:rsid w:val="00462112"/>
    <w:rsid w:val="00462114"/>
    <w:rsid w:val="00463B41"/>
    <w:rsid w:val="00464AE1"/>
    <w:rsid w:val="00465539"/>
    <w:rsid w:val="004672F6"/>
    <w:rsid w:val="00470604"/>
    <w:rsid w:val="00470C32"/>
    <w:rsid w:val="00470EFF"/>
    <w:rsid w:val="00471663"/>
    <w:rsid w:val="0047174F"/>
    <w:rsid w:val="00472469"/>
    <w:rsid w:val="0047291C"/>
    <w:rsid w:val="00473630"/>
    <w:rsid w:val="00474BD7"/>
    <w:rsid w:val="004757F4"/>
    <w:rsid w:val="004771A2"/>
    <w:rsid w:val="00477AE5"/>
    <w:rsid w:val="00477F66"/>
    <w:rsid w:val="004819B9"/>
    <w:rsid w:val="00481BB7"/>
    <w:rsid w:val="00481EC4"/>
    <w:rsid w:val="00482EDC"/>
    <w:rsid w:val="004830D9"/>
    <w:rsid w:val="00484024"/>
    <w:rsid w:val="00484BF0"/>
    <w:rsid w:val="00485B03"/>
    <w:rsid w:val="004868D7"/>
    <w:rsid w:val="00486C06"/>
    <w:rsid w:val="0049031C"/>
    <w:rsid w:val="00491104"/>
    <w:rsid w:val="00491B4E"/>
    <w:rsid w:val="00491BE2"/>
    <w:rsid w:val="0049414D"/>
    <w:rsid w:val="004945A7"/>
    <w:rsid w:val="00494937"/>
    <w:rsid w:val="00495B16"/>
    <w:rsid w:val="00495C60"/>
    <w:rsid w:val="004A030F"/>
    <w:rsid w:val="004A0F81"/>
    <w:rsid w:val="004A1EBF"/>
    <w:rsid w:val="004A34D9"/>
    <w:rsid w:val="004A3B4B"/>
    <w:rsid w:val="004A406B"/>
    <w:rsid w:val="004A4A95"/>
    <w:rsid w:val="004A4E1C"/>
    <w:rsid w:val="004A4FC7"/>
    <w:rsid w:val="004A5AB1"/>
    <w:rsid w:val="004A6257"/>
    <w:rsid w:val="004A727F"/>
    <w:rsid w:val="004A7885"/>
    <w:rsid w:val="004B223D"/>
    <w:rsid w:val="004B33F8"/>
    <w:rsid w:val="004B3A79"/>
    <w:rsid w:val="004B465E"/>
    <w:rsid w:val="004B6114"/>
    <w:rsid w:val="004B7506"/>
    <w:rsid w:val="004B75FC"/>
    <w:rsid w:val="004C016B"/>
    <w:rsid w:val="004C02F4"/>
    <w:rsid w:val="004C10E6"/>
    <w:rsid w:val="004C15D9"/>
    <w:rsid w:val="004C3A1E"/>
    <w:rsid w:val="004C3C0E"/>
    <w:rsid w:val="004C4E8F"/>
    <w:rsid w:val="004C6214"/>
    <w:rsid w:val="004C7623"/>
    <w:rsid w:val="004D05CB"/>
    <w:rsid w:val="004D1286"/>
    <w:rsid w:val="004D12B3"/>
    <w:rsid w:val="004D13CE"/>
    <w:rsid w:val="004D1A73"/>
    <w:rsid w:val="004D1AEB"/>
    <w:rsid w:val="004D291A"/>
    <w:rsid w:val="004D2D66"/>
    <w:rsid w:val="004D3657"/>
    <w:rsid w:val="004D43AC"/>
    <w:rsid w:val="004D5333"/>
    <w:rsid w:val="004D6CF6"/>
    <w:rsid w:val="004D70DE"/>
    <w:rsid w:val="004D7543"/>
    <w:rsid w:val="004D77D1"/>
    <w:rsid w:val="004E1E1A"/>
    <w:rsid w:val="004E1F04"/>
    <w:rsid w:val="004E2D3B"/>
    <w:rsid w:val="004E3D12"/>
    <w:rsid w:val="004E508B"/>
    <w:rsid w:val="004E5C6A"/>
    <w:rsid w:val="004E76B9"/>
    <w:rsid w:val="004F0DF5"/>
    <w:rsid w:val="004F11D7"/>
    <w:rsid w:val="004F17C6"/>
    <w:rsid w:val="004F228A"/>
    <w:rsid w:val="004F3E56"/>
    <w:rsid w:val="004F3F42"/>
    <w:rsid w:val="004F4ADE"/>
    <w:rsid w:val="004F4E57"/>
    <w:rsid w:val="004F5289"/>
    <w:rsid w:val="004F57A6"/>
    <w:rsid w:val="004F71F3"/>
    <w:rsid w:val="004F7295"/>
    <w:rsid w:val="004F7C27"/>
    <w:rsid w:val="005000E6"/>
    <w:rsid w:val="00500B41"/>
    <w:rsid w:val="00502234"/>
    <w:rsid w:val="00503F2A"/>
    <w:rsid w:val="00504033"/>
    <w:rsid w:val="0050410A"/>
    <w:rsid w:val="005044D6"/>
    <w:rsid w:val="00504B58"/>
    <w:rsid w:val="00505953"/>
    <w:rsid w:val="005059FF"/>
    <w:rsid w:val="00506895"/>
    <w:rsid w:val="00506B94"/>
    <w:rsid w:val="00506C6C"/>
    <w:rsid w:val="00507098"/>
    <w:rsid w:val="005107C7"/>
    <w:rsid w:val="00510D7F"/>
    <w:rsid w:val="00510E38"/>
    <w:rsid w:val="00511656"/>
    <w:rsid w:val="00511EA8"/>
    <w:rsid w:val="0051237E"/>
    <w:rsid w:val="005127A0"/>
    <w:rsid w:val="005131CD"/>
    <w:rsid w:val="005139B8"/>
    <w:rsid w:val="00514AEA"/>
    <w:rsid w:val="00514B2E"/>
    <w:rsid w:val="00514E1E"/>
    <w:rsid w:val="00515E4A"/>
    <w:rsid w:val="00516CCF"/>
    <w:rsid w:val="005206D4"/>
    <w:rsid w:val="00520EF9"/>
    <w:rsid w:val="00520F1A"/>
    <w:rsid w:val="00521887"/>
    <w:rsid w:val="0052288A"/>
    <w:rsid w:val="005259B0"/>
    <w:rsid w:val="00525EF3"/>
    <w:rsid w:val="005264AA"/>
    <w:rsid w:val="00526BC6"/>
    <w:rsid w:val="0053037A"/>
    <w:rsid w:val="00530B5F"/>
    <w:rsid w:val="005349E5"/>
    <w:rsid w:val="00535109"/>
    <w:rsid w:val="0053520D"/>
    <w:rsid w:val="00535C43"/>
    <w:rsid w:val="00536B50"/>
    <w:rsid w:val="00541647"/>
    <w:rsid w:val="00543344"/>
    <w:rsid w:val="00544543"/>
    <w:rsid w:val="00544E1E"/>
    <w:rsid w:val="005450F7"/>
    <w:rsid w:val="00545560"/>
    <w:rsid w:val="00545566"/>
    <w:rsid w:val="00545AC7"/>
    <w:rsid w:val="0054663C"/>
    <w:rsid w:val="00546707"/>
    <w:rsid w:val="00546FD6"/>
    <w:rsid w:val="00547181"/>
    <w:rsid w:val="00547C27"/>
    <w:rsid w:val="00547CD0"/>
    <w:rsid w:val="005509D1"/>
    <w:rsid w:val="005513E1"/>
    <w:rsid w:val="00551685"/>
    <w:rsid w:val="0055202E"/>
    <w:rsid w:val="005528D1"/>
    <w:rsid w:val="0055333E"/>
    <w:rsid w:val="00553861"/>
    <w:rsid w:val="00554021"/>
    <w:rsid w:val="00554A9B"/>
    <w:rsid w:val="00554D28"/>
    <w:rsid w:val="005565FD"/>
    <w:rsid w:val="00556835"/>
    <w:rsid w:val="00560046"/>
    <w:rsid w:val="005625E9"/>
    <w:rsid w:val="005626D7"/>
    <w:rsid w:val="00562EA4"/>
    <w:rsid w:val="005631CA"/>
    <w:rsid w:val="005634D4"/>
    <w:rsid w:val="005636E6"/>
    <w:rsid w:val="00564228"/>
    <w:rsid w:val="00565D76"/>
    <w:rsid w:val="00566FBD"/>
    <w:rsid w:val="005671DC"/>
    <w:rsid w:val="00567D39"/>
    <w:rsid w:val="0057057A"/>
    <w:rsid w:val="0057069F"/>
    <w:rsid w:val="00570A2C"/>
    <w:rsid w:val="0057215E"/>
    <w:rsid w:val="00572F2E"/>
    <w:rsid w:val="00573978"/>
    <w:rsid w:val="00573C33"/>
    <w:rsid w:val="005751E7"/>
    <w:rsid w:val="00576745"/>
    <w:rsid w:val="00576BAC"/>
    <w:rsid w:val="005775B2"/>
    <w:rsid w:val="00577662"/>
    <w:rsid w:val="00580E20"/>
    <w:rsid w:val="0058175C"/>
    <w:rsid w:val="00581A48"/>
    <w:rsid w:val="00581BFC"/>
    <w:rsid w:val="005821A0"/>
    <w:rsid w:val="0058247C"/>
    <w:rsid w:val="0058292C"/>
    <w:rsid w:val="00582E81"/>
    <w:rsid w:val="0058310F"/>
    <w:rsid w:val="005833B8"/>
    <w:rsid w:val="00583996"/>
    <w:rsid w:val="0058764D"/>
    <w:rsid w:val="00590A9D"/>
    <w:rsid w:val="0059191D"/>
    <w:rsid w:val="00591C65"/>
    <w:rsid w:val="00591D86"/>
    <w:rsid w:val="005923A0"/>
    <w:rsid w:val="005939A5"/>
    <w:rsid w:val="0059416F"/>
    <w:rsid w:val="00594855"/>
    <w:rsid w:val="00594A91"/>
    <w:rsid w:val="00594DDA"/>
    <w:rsid w:val="00594F4D"/>
    <w:rsid w:val="005960C0"/>
    <w:rsid w:val="00596ABC"/>
    <w:rsid w:val="005971C4"/>
    <w:rsid w:val="005A0021"/>
    <w:rsid w:val="005A0AAE"/>
    <w:rsid w:val="005A109F"/>
    <w:rsid w:val="005A20E1"/>
    <w:rsid w:val="005A311D"/>
    <w:rsid w:val="005A3AAE"/>
    <w:rsid w:val="005A3DF4"/>
    <w:rsid w:val="005A4EE7"/>
    <w:rsid w:val="005A61E3"/>
    <w:rsid w:val="005B08ED"/>
    <w:rsid w:val="005B19E0"/>
    <w:rsid w:val="005B2670"/>
    <w:rsid w:val="005B2943"/>
    <w:rsid w:val="005B42C1"/>
    <w:rsid w:val="005B43BF"/>
    <w:rsid w:val="005B661E"/>
    <w:rsid w:val="005B6DB2"/>
    <w:rsid w:val="005B74F0"/>
    <w:rsid w:val="005B79C2"/>
    <w:rsid w:val="005C0416"/>
    <w:rsid w:val="005C0B20"/>
    <w:rsid w:val="005C2886"/>
    <w:rsid w:val="005C2BCD"/>
    <w:rsid w:val="005C36A5"/>
    <w:rsid w:val="005C3954"/>
    <w:rsid w:val="005C4655"/>
    <w:rsid w:val="005C48E3"/>
    <w:rsid w:val="005C4BED"/>
    <w:rsid w:val="005C4C5E"/>
    <w:rsid w:val="005C4D27"/>
    <w:rsid w:val="005C64CB"/>
    <w:rsid w:val="005C7849"/>
    <w:rsid w:val="005D0BE2"/>
    <w:rsid w:val="005D0EDA"/>
    <w:rsid w:val="005D0FF9"/>
    <w:rsid w:val="005D16B7"/>
    <w:rsid w:val="005D1A4C"/>
    <w:rsid w:val="005D1B6B"/>
    <w:rsid w:val="005D1CF9"/>
    <w:rsid w:val="005D3783"/>
    <w:rsid w:val="005D4518"/>
    <w:rsid w:val="005D4B0C"/>
    <w:rsid w:val="005D698A"/>
    <w:rsid w:val="005D79B1"/>
    <w:rsid w:val="005D7DDC"/>
    <w:rsid w:val="005E0C73"/>
    <w:rsid w:val="005E170D"/>
    <w:rsid w:val="005E1817"/>
    <w:rsid w:val="005E37EC"/>
    <w:rsid w:val="005E393D"/>
    <w:rsid w:val="005E4518"/>
    <w:rsid w:val="005E4D58"/>
    <w:rsid w:val="005E702F"/>
    <w:rsid w:val="005F1904"/>
    <w:rsid w:val="005F1EBB"/>
    <w:rsid w:val="005F2858"/>
    <w:rsid w:val="005F3231"/>
    <w:rsid w:val="005F338F"/>
    <w:rsid w:val="005F3439"/>
    <w:rsid w:val="005F3D99"/>
    <w:rsid w:val="005F3E72"/>
    <w:rsid w:val="005F4249"/>
    <w:rsid w:val="005F5FFA"/>
    <w:rsid w:val="005F60C5"/>
    <w:rsid w:val="005F69BA"/>
    <w:rsid w:val="005F72A4"/>
    <w:rsid w:val="00601456"/>
    <w:rsid w:val="006026A8"/>
    <w:rsid w:val="00602734"/>
    <w:rsid w:val="0060356C"/>
    <w:rsid w:val="00605511"/>
    <w:rsid w:val="006059BC"/>
    <w:rsid w:val="00605AF1"/>
    <w:rsid w:val="00605B5B"/>
    <w:rsid w:val="00606B0D"/>
    <w:rsid w:val="0061002F"/>
    <w:rsid w:val="00611934"/>
    <w:rsid w:val="00611AE3"/>
    <w:rsid w:val="00611B52"/>
    <w:rsid w:val="00611CE7"/>
    <w:rsid w:val="0061250C"/>
    <w:rsid w:val="00613493"/>
    <w:rsid w:val="00613E5E"/>
    <w:rsid w:val="006165F0"/>
    <w:rsid w:val="00617734"/>
    <w:rsid w:val="0062124D"/>
    <w:rsid w:val="00621432"/>
    <w:rsid w:val="006240F7"/>
    <w:rsid w:val="0062424E"/>
    <w:rsid w:val="00625158"/>
    <w:rsid w:val="00625781"/>
    <w:rsid w:val="0062692D"/>
    <w:rsid w:val="00627725"/>
    <w:rsid w:val="006279EA"/>
    <w:rsid w:val="00630740"/>
    <w:rsid w:val="0063187E"/>
    <w:rsid w:val="006319E0"/>
    <w:rsid w:val="006323F9"/>
    <w:rsid w:val="00633608"/>
    <w:rsid w:val="006347DB"/>
    <w:rsid w:val="006356E4"/>
    <w:rsid w:val="00643A9B"/>
    <w:rsid w:val="00643CB8"/>
    <w:rsid w:val="00644209"/>
    <w:rsid w:val="00645165"/>
    <w:rsid w:val="00650320"/>
    <w:rsid w:val="00650358"/>
    <w:rsid w:val="00651479"/>
    <w:rsid w:val="006518B2"/>
    <w:rsid w:val="00651F46"/>
    <w:rsid w:val="00652579"/>
    <w:rsid w:val="00653A97"/>
    <w:rsid w:val="00654A58"/>
    <w:rsid w:val="00654F1C"/>
    <w:rsid w:val="00655B72"/>
    <w:rsid w:val="00655C2C"/>
    <w:rsid w:val="00656661"/>
    <w:rsid w:val="0065686A"/>
    <w:rsid w:val="006568AD"/>
    <w:rsid w:val="006571A3"/>
    <w:rsid w:val="00662562"/>
    <w:rsid w:val="006648D2"/>
    <w:rsid w:val="00665566"/>
    <w:rsid w:val="0066636B"/>
    <w:rsid w:val="00666415"/>
    <w:rsid w:val="006665DB"/>
    <w:rsid w:val="00667863"/>
    <w:rsid w:val="00667A88"/>
    <w:rsid w:val="00667CA8"/>
    <w:rsid w:val="0067036D"/>
    <w:rsid w:val="00670DCB"/>
    <w:rsid w:val="006714DA"/>
    <w:rsid w:val="006716F8"/>
    <w:rsid w:val="00673CC0"/>
    <w:rsid w:val="0067403C"/>
    <w:rsid w:val="006742B6"/>
    <w:rsid w:val="00674738"/>
    <w:rsid w:val="00675B59"/>
    <w:rsid w:val="00676032"/>
    <w:rsid w:val="00680617"/>
    <w:rsid w:val="00681775"/>
    <w:rsid w:val="00683418"/>
    <w:rsid w:val="00684AB3"/>
    <w:rsid w:val="006859C8"/>
    <w:rsid w:val="00686FC5"/>
    <w:rsid w:val="006904FB"/>
    <w:rsid w:val="006915C4"/>
    <w:rsid w:val="00691BDA"/>
    <w:rsid w:val="0069262D"/>
    <w:rsid w:val="0069299D"/>
    <w:rsid w:val="00695575"/>
    <w:rsid w:val="00695E6D"/>
    <w:rsid w:val="006969FC"/>
    <w:rsid w:val="006A05D7"/>
    <w:rsid w:val="006A1475"/>
    <w:rsid w:val="006A2AD5"/>
    <w:rsid w:val="006A4071"/>
    <w:rsid w:val="006A417D"/>
    <w:rsid w:val="006A6184"/>
    <w:rsid w:val="006A6BBC"/>
    <w:rsid w:val="006A6C19"/>
    <w:rsid w:val="006A6C70"/>
    <w:rsid w:val="006A7810"/>
    <w:rsid w:val="006A7D90"/>
    <w:rsid w:val="006B0BFC"/>
    <w:rsid w:val="006B0ECE"/>
    <w:rsid w:val="006B12EC"/>
    <w:rsid w:val="006B22FF"/>
    <w:rsid w:val="006B334F"/>
    <w:rsid w:val="006B3B80"/>
    <w:rsid w:val="006B3F12"/>
    <w:rsid w:val="006B4A46"/>
    <w:rsid w:val="006B4E8B"/>
    <w:rsid w:val="006B5A23"/>
    <w:rsid w:val="006B67CF"/>
    <w:rsid w:val="006B6811"/>
    <w:rsid w:val="006B726B"/>
    <w:rsid w:val="006B78B5"/>
    <w:rsid w:val="006B7F4A"/>
    <w:rsid w:val="006C06B1"/>
    <w:rsid w:val="006C13DA"/>
    <w:rsid w:val="006C2867"/>
    <w:rsid w:val="006C33B2"/>
    <w:rsid w:val="006C3784"/>
    <w:rsid w:val="006C3FE5"/>
    <w:rsid w:val="006C4DCC"/>
    <w:rsid w:val="006C5ADD"/>
    <w:rsid w:val="006C61B7"/>
    <w:rsid w:val="006C6541"/>
    <w:rsid w:val="006C7AD4"/>
    <w:rsid w:val="006D050E"/>
    <w:rsid w:val="006D05B3"/>
    <w:rsid w:val="006D0AC4"/>
    <w:rsid w:val="006D0B25"/>
    <w:rsid w:val="006D0B32"/>
    <w:rsid w:val="006D3521"/>
    <w:rsid w:val="006D366C"/>
    <w:rsid w:val="006D373E"/>
    <w:rsid w:val="006D4A4E"/>
    <w:rsid w:val="006D5D9B"/>
    <w:rsid w:val="006D5F3C"/>
    <w:rsid w:val="006D733D"/>
    <w:rsid w:val="006D7CF6"/>
    <w:rsid w:val="006E137C"/>
    <w:rsid w:val="006E23F5"/>
    <w:rsid w:val="006E337A"/>
    <w:rsid w:val="006E4628"/>
    <w:rsid w:val="006E5443"/>
    <w:rsid w:val="006E58C3"/>
    <w:rsid w:val="006E5CAF"/>
    <w:rsid w:val="006E5F75"/>
    <w:rsid w:val="006E6FCC"/>
    <w:rsid w:val="006E7009"/>
    <w:rsid w:val="006E7EF6"/>
    <w:rsid w:val="006F0B11"/>
    <w:rsid w:val="006F0EC9"/>
    <w:rsid w:val="006F2237"/>
    <w:rsid w:val="006F2C26"/>
    <w:rsid w:val="006F3850"/>
    <w:rsid w:val="006F3913"/>
    <w:rsid w:val="006F5476"/>
    <w:rsid w:val="006F6595"/>
    <w:rsid w:val="006F6C8B"/>
    <w:rsid w:val="007000C6"/>
    <w:rsid w:val="00701620"/>
    <w:rsid w:val="0070189D"/>
    <w:rsid w:val="00701CB6"/>
    <w:rsid w:val="00702AF6"/>
    <w:rsid w:val="00702D20"/>
    <w:rsid w:val="007030AC"/>
    <w:rsid w:val="007031E5"/>
    <w:rsid w:val="00703562"/>
    <w:rsid w:val="00704550"/>
    <w:rsid w:val="0070597B"/>
    <w:rsid w:val="00706458"/>
    <w:rsid w:val="00706822"/>
    <w:rsid w:val="00706DC0"/>
    <w:rsid w:val="007072FA"/>
    <w:rsid w:val="00707FEC"/>
    <w:rsid w:val="00711357"/>
    <w:rsid w:val="00711C8A"/>
    <w:rsid w:val="007121AB"/>
    <w:rsid w:val="007123CB"/>
    <w:rsid w:val="007130BF"/>
    <w:rsid w:val="007136BC"/>
    <w:rsid w:val="00713C1E"/>
    <w:rsid w:val="0071419B"/>
    <w:rsid w:val="00715569"/>
    <w:rsid w:val="00716C2D"/>
    <w:rsid w:val="0072044D"/>
    <w:rsid w:val="00720D76"/>
    <w:rsid w:val="00721240"/>
    <w:rsid w:val="0072195D"/>
    <w:rsid w:val="00721D7F"/>
    <w:rsid w:val="00722CF3"/>
    <w:rsid w:val="0072440F"/>
    <w:rsid w:val="00724462"/>
    <w:rsid w:val="007252D6"/>
    <w:rsid w:val="0072583D"/>
    <w:rsid w:val="00725F6C"/>
    <w:rsid w:val="00726A65"/>
    <w:rsid w:val="00727611"/>
    <w:rsid w:val="00730277"/>
    <w:rsid w:val="00731276"/>
    <w:rsid w:val="00731E6C"/>
    <w:rsid w:val="007333F3"/>
    <w:rsid w:val="00733409"/>
    <w:rsid w:val="007340EA"/>
    <w:rsid w:val="007360BA"/>
    <w:rsid w:val="00737AE5"/>
    <w:rsid w:val="00740090"/>
    <w:rsid w:val="00740AE2"/>
    <w:rsid w:val="00740C6C"/>
    <w:rsid w:val="00740E89"/>
    <w:rsid w:val="007419DD"/>
    <w:rsid w:val="00742662"/>
    <w:rsid w:val="00742EA3"/>
    <w:rsid w:val="00743BCC"/>
    <w:rsid w:val="007445C0"/>
    <w:rsid w:val="007447E1"/>
    <w:rsid w:val="0074652F"/>
    <w:rsid w:val="00746B8F"/>
    <w:rsid w:val="00747D97"/>
    <w:rsid w:val="00751EEC"/>
    <w:rsid w:val="007522A0"/>
    <w:rsid w:val="007534BE"/>
    <w:rsid w:val="00753B94"/>
    <w:rsid w:val="007542EE"/>
    <w:rsid w:val="00754311"/>
    <w:rsid w:val="00755BE4"/>
    <w:rsid w:val="00756328"/>
    <w:rsid w:val="007574FB"/>
    <w:rsid w:val="007600CC"/>
    <w:rsid w:val="0076080A"/>
    <w:rsid w:val="00760C20"/>
    <w:rsid w:val="0076196A"/>
    <w:rsid w:val="00761C21"/>
    <w:rsid w:val="0076204C"/>
    <w:rsid w:val="00762293"/>
    <w:rsid w:val="00762D81"/>
    <w:rsid w:val="00763AA7"/>
    <w:rsid w:val="0076442D"/>
    <w:rsid w:val="00764959"/>
    <w:rsid w:val="00764F69"/>
    <w:rsid w:val="007665CD"/>
    <w:rsid w:val="00767883"/>
    <w:rsid w:val="0077305F"/>
    <w:rsid w:val="00773981"/>
    <w:rsid w:val="007752E9"/>
    <w:rsid w:val="007755A0"/>
    <w:rsid w:val="00775A19"/>
    <w:rsid w:val="00775C73"/>
    <w:rsid w:val="00776B58"/>
    <w:rsid w:val="00776EF1"/>
    <w:rsid w:val="007770B4"/>
    <w:rsid w:val="00780283"/>
    <w:rsid w:val="007805D6"/>
    <w:rsid w:val="00781F71"/>
    <w:rsid w:val="0078342F"/>
    <w:rsid w:val="00783C05"/>
    <w:rsid w:val="00784EE1"/>
    <w:rsid w:val="007850A9"/>
    <w:rsid w:val="00785B82"/>
    <w:rsid w:val="0078614F"/>
    <w:rsid w:val="007861F9"/>
    <w:rsid w:val="007874A1"/>
    <w:rsid w:val="007875B8"/>
    <w:rsid w:val="007900B3"/>
    <w:rsid w:val="00790779"/>
    <w:rsid w:val="00791491"/>
    <w:rsid w:val="0079219F"/>
    <w:rsid w:val="007925A9"/>
    <w:rsid w:val="00792B94"/>
    <w:rsid w:val="00792E0F"/>
    <w:rsid w:val="007942B2"/>
    <w:rsid w:val="00795222"/>
    <w:rsid w:val="007954ED"/>
    <w:rsid w:val="00795E4D"/>
    <w:rsid w:val="00795EE7"/>
    <w:rsid w:val="007962A5"/>
    <w:rsid w:val="007970C0"/>
    <w:rsid w:val="00797F9E"/>
    <w:rsid w:val="007A08DE"/>
    <w:rsid w:val="007A1B47"/>
    <w:rsid w:val="007A1B8C"/>
    <w:rsid w:val="007A2215"/>
    <w:rsid w:val="007A275A"/>
    <w:rsid w:val="007A4DA2"/>
    <w:rsid w:val="007A53C7"/>
    <w:rsid w:val="007A6603"/>
    <w:rsid w:val="007A681E"/>
    <w:rsid w:val="007A6D18"/>
    <w:rsid w:val="007A6F5E"/>
    <w:rsid w:val="007B04A6"/>
    <w:rsid w:val="007B0517"/>
    <w:rsid w:val="007B0519"/>
    <w:rsid w:val="007B095C"/>
    <w:rsid w:val="007B115F"/>
    <w:rsid w:val="007B1C73"/>
    <w:rsid w:val="007B20D7"/>
    <w:rsid w:val="007B2D22"/>
    <w:rsid w:val="007B2E94"/>
    <w:rsid w:val="007B2F8B"/>
    <w:rsid w:val="007B4793"/>
    <w:rsid w:val="007B4C4E"/>
    <w:rsid w:val="007B58D3"/>
    <w:rsid w:val="007B603B"/>
    <w:rsid w:val="007B6180"/>
    <w:rsid w:val="007B644A"/>
    <w:rsid w:val="007B66E0"/>
    <w:rsid w:val="007B7C14"/>
    <w:rsid w:val="007C1598"/>
    <w:rsid w:val="007C1C0A"/>
    <w:rsid w:val="007C1E6A"/>
    <w:rsid w:val="007C20A9"/>
    <w:rsid w:val="007C4AF6"/>
    <w:rsid w:val="007C5CFE"/>
    <w:rsid w:val="007C5D4D"/>
    <w:rsid w:val="007C7B07"/>
    <w:rsid w:val="007C7CDD"/>
    <w:rsid w:val="007D0A61"/>
    <w:rsid w:val="007D0B3A"/>
    <w:rsid w:val="007D167C"/>
    <w:rsid w:val="007D3823"/>
    <w:rsid w:val="007D5A5A"/>
    <w:rsid w:val="007D7F58"/>
    <w:rsid w:val="007E1959"/>
    <w:rsid w:val="007E30BA"/>
    <w:rsid w:val="007E54E2"/>
    <w:rsid w:val="007E5708"/>
    <w:rsid w:val="007F0B53"/>
    <w:rsid w:val="007F0EB2"/>
    <w:rsid w:val="007F1666"/>
    <w:rsid w:val="007F2D1A"/>
    <w:rsid w:val="007F3213"/>
    <w:rsid w:val="007F3A43"/>
    <w:rsid w:val="007F3BF6"/>
    <w:rsid w:val="007F3D36"/>
    <w:rsid w:val="007F4D0F"/>
    <w:rsid w:val="007F58A1"/>
    <w:rsid w:val="007F6D0F"/>
    <w:rsid w:val="00800ACB"/>
    <w:rsid w:val="00800B20"/>
    <w:rsid w:val="00800E1B"/>
    <w:rsid w:val="00801170"/>
    <w:rsid w:val="00803F30"/>
    <w:rsid w:val="00804033"/>
    <w:rsid w:val="00804553"/>
    <w:rsid w:val="008055FF"/>
    <w:rsid w:val="00806935"/>
    <w:rsid w:val="00807C21"/>
    <w:rsid w:val="00811365"/>
    <w:rsid w:val="008114DA"/>
    <w:rsid w:val="00811614"/>
    <w:rsid w:val="008121B5"/>
    <w:rsid w:val="00813134"/>
    <w:rsid w:val="0081342A"/>
    <w:rsid w:val="00814F59"/>
    <w:rsid w:val="008164A7"/>
    <w:rsid w:val="008167EE"/>
    <w:rsid w:val="00817950"/>
    <w:rsid w:val="0081796E"/>
    <w:rsid w:val="0082141B"/>
    <w:rsid w:val="008219E7"/>
    <w:rsid w:val="00821D57"/>
    <w:rsid w:val="008221A3"/>
    <w:rsid w:val="008242D3"/>
    <w:rsid w:val="0082449F"/>
    <w:rsid w:val="00824C8D"/>
    <w:rsid w:val="008262F2"/>
    <w:rsid w:val="00826975"/>
    <w:rsid w:val="0082757A"/>
    <w:rsid w:val="00827C87"/>
    <w:rsid w:val="00830840"/>
    <w:rsid w:val="00830B28"/>
    <w:rsid w:val="00831512"/>
    <w:rsid w:val="00832B44"/>
    <w:rsid w:val="00833839"/>
    <w:rsid w:val="00833BBF"/>
    <w:rsid w:val="00835179"/>
    <w:rsid w:val="008404F3"/>
    <w:rsid w:val="00842625"/>
    <w:rsid w:val="008426CE"/>
    <w:rsid w:val="00842907"/>
    <w:rsid w:val="00842A39"/>
    <w:rsid w:val="0084315F"/>
    <w:rsid w:val="00845855"/>
    <w:rsid w:val="00845B8E"/>
    <w:rsid w:val="008461CF"/>
    <w:rsid w:val="00846856"/>
    <w:rsid w:val="00851604"/>
    <w:rsid w:val="00851CB1"/>
    <w:rsid w:val="008523BD"/>
    <w:rsid w:val="008528D5"/>
    <w:rsid w:val="00853A09"/>
    <w:rsid w:val="008545BE"/>
    <w:rsid w:val="00856368"/>
    <w:rsid w:val="00856899"/>
    <w:rsid w:val="00856A62"/>
    <w:rsid w:val="00860063"/>
    <w:rsid w:val="008602A9"/>
    <w:rsid w:val="008617C4"/>
    <w:rsid w:val="0086337A"/>
    <w:rsid w:val="008634F1"/>
    <w:rsid w:val="00865D6F"/>
    <w:rsid w:val="00866571"/>
    <w:rsid w:val="00866BC6"/>
    <w:rsid w:val="00870CD4"/>
    <w:rsid w:val="008713C2"/>
    <w:rsid w:val="00871AD5"/>
    <w:rsid w:val="008723CC"/>
    <w:rsid w:val="00873269"/>
    <w:rsid w:val="00873B65"/>
    <w:rsid w:val="00875B76"/>
    <w:rsid w:val="00875CDB"/>
    <w:rsid w:val="00875DAA"/>
    <w:rsid w:val="00876064"/>
    <w:rsid w:val="00876689"/>
    <w:rsid w:val="00876796"/>
    <w:rsid w:val="00876F7E"/>
    <w:rsid w:val="008777AF"/>
    <w:rsid w:val="00877CC6"/>
    <w:rsid w:val="008825B3"/>
    <w:rsid w:val="00882BE8"/>
    <w:rsid w:val="00883053"/>
    <w:rsid w:val="008835A9"/>
    <w:rsid w:val="00883F9B"/>
    <w:rsid w:val="00884D04"/>
    <w:rsid w:val="00885708"/>
    <w:rsid w:val="00890C2D"/>
    <w:rsid w:val="00891F61"/>
    <w:rsid w:val="00892F61"/>
    <w:rsid w:val="0089347F"/>
    <w:rsid w:val="0089348E"/>
    <w:rsid w:val="00893E52"/>
    <w:rsid w:val="0089411F"/>
    <w:rsid w:val="00895695"/>
    <w:rsid w:val="00895BB0"/>
    <w:rsid w:val="00896298"/>
    <w:rsid w:val="008968C0"/>
    <w:rsid w:val="008A26DE"/>
    <w:rsid w:val="008A341C"/>
    <w:rsid w:val="008A49EF"/>
    <w:rsid w:val="008A4C91"/>
    <w:rsid w:val="008A5EF3"/>
    <w:rsid w:val="008A757F"/>
    <w:rsid w:val="008A7993"/>
    <w:rsid w:val="008A79E8"/>
    <w:rsid w:val="008B09F7"/>
    <w:rsid w:val="008B1FBE"/>
    <w:rsid w:val="008B2018"/>
    <w:rsid w:val="008B3535"/>
    <w:rsid w:val="008B5730"/>
    <w:rsid w:val="008B5AFD"/>
    <w:rsid w:val="008B5F7D"/>
    <w:rsid w:val="008B7375"/>
    <w:rsid w:val="008B7B56"/>
    <w:rsid w:val="008C0109"/>
    <w:rsid w:val="008C049D"/>
    <w:rsid w:val="008C05D2"/>
    <w:rsid w:val="008C0C95"/>
    <w:rsid w:val="008C16BA"/>
    <w:rsid w:val="008C1DDD"/>
    <w:rsid w:val="008C218F"/>
    <w:rsid w:val="008C2E94"/>
    <w:rsid w:val="008C4B4F"/>
    <w:rsid w:val="008C70A1"/>
    <w:rsid w:val="008C7953"/>
    <w:rsid w:val="008C7C01"/>
    <w:rsid w:val="008D08AE"/>
    <w:rsid w:val="008D1253"/>
    <w:rsid w:val="008D24A6"/>
    <w:rsid w:val="008D274A"/>
    <w:rsid w:val="008D2E50"/>
    <w:rsid w:val="008D3CC2"/>
    <w:rsid w:val="008D40D0"/>
    <w:rsid w:val="008D4436"/>
    <w:rsid w:val="008D4992"/>
    <w:rsid w:val="008D5717"/>
    <w:rsid w:val="008D594D"/>
    <w:rsid w:val="008D699E"/>
    <w:rsid w:val="008D6E3E"/>
    <w:rsid w:val="008D7390"/>
    <w:rsid w:val="008E0663"/>
    <w:rsid w:val="008E22C8"/>
    <w:rsid w:val="008E29EB"/>
    <w:rsid w:val="008E2D89"/>
    <w:rsid w:val="008E368F"/>
    <w:rsid w:val="008E38FA"/>
    <w:rsid w:val="008E39A5"/>
    <w:rsid w:val="008E3A3F"/>
    <w:rsid w:val="008E3C90"/>
    <w:rsid w:val="008E5612"/>
    <w:rsid w:val="008E5693"/>
    <w:rsid w:val="008E638C"/>
    <w:rsid w:val="008E6A4F"/>
    <w:rsid w:val="008E77CF"/>
    <w:rsid w:val="008E7C2E"/>
    <w:rsid w:val="008F019E"/>
    <w:rsid w:val="008F142C"/>
    <w:rsid w:val="008F3194"/>
    <w:rsid w:val="008F3543"/>
    <w:rsid w:val="008F3F6B"/>
    <w:rsid w:val="008F4429"/>
    <w:rsid w:val="008F476B"/>
    <w:rsid w:val="008F4E3C"/>
    <w:rsid w:val="008F5279"/>
    <w:rsid w:val="008F72F2"/>
    <w:rsid w:val="008F78C3"/>
    <w:rsid w:val="008F7AF6"/>
    <w:rsid w:val="008F7D76"/>
    <w:rsid w:val="008F7E3B"/>
    <w:rsid w:val="00900CE8"/>
    <w:rsid w:val="00900D5A"/>
    <w:rsid w:val="009022E3"/>
    <w:rsid w:val="009029F1"/>
    <w:rsid w:val="00902D05"/>
    <w:rsid w:val="009036B3"/>
    <w:rsid w:val="009050D0"/>
    <w:rsid w:val="0090574C"/>
    <w:rsid w:val="00906A90"/>
    <w:rsid w:val="0090783C"/>
    <w:rsid w:val="009126C7"/>
    <w:rsid w:val="00912F1D"/>
    <w:rsid w:val="00913605"/>
    <w:rsid w:val="00913DD7"/>
    <w:rsid w:val="0091541F"/>
    <w:rsid w:val="00915DAA"/>
    <w:rsid w:val="009161BB"/>
    <w:rsid w:val="00917685"/>
    <w:rsid w:val="00917698"/>
    <w:rsid w:val="00917F63"/>
    <w:rsid w:val="009203A2"/>
    <w:rsid w:val="00921896"/>
    <w:rsid w:val="00922B4D"/>
    <w:rsid w:val="00922C14"/>
    <w:rsid w:val="00923825"/>
    <w:rsid w:val="00926350"/>
    <w:rsid w:val="009267D3"/>
    <w:rsid w:val="00927B2E"/>
    <w:rsid w:val="0093020B"/>
    <w:rsid w:val="009317DF"/>
    <w:rsid w:val="009320DA"/>
    <w:rsid w:val="0093231C"/>
    <w:rsid w:val="00932D52"/>
    <w:rsid w:val="0093396D"/>
    <w:rsid w:val="00936B57"/>
    <w:rsid w:val="00936DF3"/>
    <w:rsid w:val="00936E0E"/>
    <w:rsid w:val="009377A9"/>
    <w:rsid w:val="00937ABF"/>
    <w:rsid w:val="00937DCA"/>
    <w:rsid w:val="00940047"/>
    <w:rsid w:val="009408BC"/>
    <w:rsid w:val="00940C0A"/>
    <w:rsid w:val="00941D97"/>
    <w:rsid w:val="00944307"/>
    <w:rsid w:val="009444CB"/>
    <w:rsid w:val="00944FA9"/>
    <w:rsid w:val="0094570E"/>
    <w:rsid w:val="009466B9"/>
    <w:rsid w:val="009510AF"/>
    <w:rsid w:val="009524EA"/>
    <w:rsid w:val="00953246"/>
    <w:rsid w:val="00953C64"/>
    <w:rsid w:val="0095573F"/>
    <w:rsid w:val="0095600F"/>
    <w:rsid w:val="00956320"/>
    <w:rsid w:val="00957462"/>
    <w:rsid w:val="009578E3"/>
    <w:rsid w:val="00957E13"/>
    <w:rsid w:val="00960472"/>
    <w:rsid w:val="0096067E"/>
    <w:rsid w:val="00961501"/>
    <w:rsid w:val="009626A9"/>
    <w:rsid w:val="00962737"/>
    <w:rsid w:val="00963C74"/>
    <w:rsid w:val="00963D0F"/>
    <w:rsid w:val="00964729"/>
    <w:rsid w:val="00965BEA"/>
    <w:rsid w:val="00970487"/>
    <w:rsid w:val="009704E4"/>
    <w:rsid w:val="00970DEA"/>
    <w:rsid w:val="00970FF1"/>
    <w:rsid w:val="009712CA"/>
    <w:rsid w:val="00971623"/>
    <w:rsid w:val="00971AC5"/>
    <w:rsid w:val="0097215F"/>
    <w:rsid w:val="0097287D"/>
    <w:rsid w:val="009729AF"/>
    <w:rsid w:val="009730DA"/>
    <w:rsid w:val="00973994"/>
    <w:rsid w:val="009740CB"/>
    <w:rsid w:val="009761D2"/>
    <w:rsid w:val="009762CF"/>
    <w:rsid w:val="0097744F"/>
    <w:rsid w:val="00977469"/>
    <w:rsid w:val="00982D40"/>
    <w:rsid w:val="009861DE"/>
    <w:rsid w:val="0098780B"/>
    <w:rsid w:val="00987A24"/>
    <w:rsid w:val="00987A44"/>
    <w:rsid w:val="00987AE8"/>
    <w:rsid w:val="00990AE3"/>
    <w:rsid w:val="009912AD"/>
    <w:rsid w:val="0099135E"/>
    <w:rsid w:val="0099165D"/>
    <w:rsid w:val="00991BC8"/>
    <w:rsid w:val="00993B81"/>
    <w:rsid w:val="00993DA2"/>
    <w:rsid w:val="009943A6"/>
    <w:rsid w:val="00994637"/>
    <w:rsid w:val="00995B52"/>
    <w:rsid w:val="009A00DA"/>
    <w:rsid w:val="009A029D"/>
    <w:rsid w:val="009A040D"/>
    <w:rsid w:val="009A1D09"/>
    <w:rsid w:val="009A2D6A"/>
    <w:rsid w:val="009A30D0"/>
    <w:rsid w:val="009A320F"/>
    <w:rsid w:val="009A4C07"/>
    <w:rsid w:val="009A548C"/>
    <w:rsid w:val="009A55CC"/>
    <w:rsid w:val="009A6627"/>
    <w:rsid w:val="009A745B"/>
    <w:rsid w:val="009A7AA6"/>
    <w:rsid w:val="009B0179"/>
    <w:rsid w:val="009B020E"/>
    <w:rsid w:val="009B0C4F"/>
    <w:rsid w:val="009B166F"/>
    <w:rsid w:val="009B1AEA"/>
    <w:rsid w:val="009B1E39"/>
    <w:rsid w:val="009B39E8"/>
    <w:rsid w:val="009B4A31"/>
    <w:rsid w:val="009B4E5A"/>
    <w:rsid w:val="009B54E4"/>
    <w:rsid w:val="009B5BCE"/>
    <w:rsid w:val="009B7106"/>
    <w:rsid w:val="009B7149"/>
    <w:rsid w:val="009B7EA4"/>
    <w:rsid w:val="009C0073"/>
    <w:rsid w:val="009C017E"/>
    <w:rsid w:val="009C0AB8"/>
    <w:rsid w:val="009C12CE"/>
    <w:rsid w:val="009C200B"/>
    <w:rsid w:val="009C345B"/>
    <w:rsid w:val="009C3C10"/>
    <w:rsid w:val="009C3FBB"/>
    <w:rsid w:val="009C42AB"/>
    <w:rsid w:val="009C42FF"/>
    <w:rsid w:val="009C6456"/>
    <w:rsid w:val="009C6654"/>
    <w:rsid w:val="009C73DB"/>
    <w:rsid w:val="009C7B3C"/>
    <w:rsid w:val="009D0F17"/>
    <w:rsid w:val="009D10C8"/>
    <w:rsid w:val="009D1414"/>
    <w:rsid w:val="009D2E57"/>
    <w:rsid w:val="009D3781"/>
    <w:rsid w:val="009D49F8"/>
    <w:rsid w:val="009D4A97"/>
    <w:rsid w:val="009D53E2"/>
    <w:rsid w:val="009D5FC8"/>
    <w:rsid w:val="009D6266"/>
    <w:rsid w:val="009D74B3"/>
    <w:rsid w:val="009E1065"/>
    <w:rsid w:val="009E1362"/>
    <w:rsid w:val="009E2D3C"/>
    <w:rsid w:val="009E34E6"/>
    <w:rsid w:val="009E3685"/>
    <w:rsid w:val="009E3DC2"/>
    <w:rsid w:val="009E3F8B"/>
    <w:rsid w:val="009E4D72"/>
    <w:rsid w:val="009E5E56"/>
    <w:rsid w:val="009E6877"/>
    <w:rsid w:val="009E712C"/>
    <w:rsid w:val="009E71F7"/>
    <w:rsid w:val="009E7544"/>
    <w:rsid w:val="009E7704"/>
    <w:rsid w:val="009E7784"/>
    <w:rsid w:val="009E7BEA"/>
    <w:rsid w:val="009E7E8E"/>
    <w:rsid w:val="009F0EC2"/>
    <w:rsid w:val="009F16F1"/>
    <w:rsid w:val="009F19D0"/>
    <w:rsid w:val="009F1F0D"/>
    <w:rsid w:val="009F262C"/>
    <w:rsid w:val="009F2B6D"/>
    <w:rsid w:val="009F3086"/>
    <w:rsid w:val="009F3291"/>
    <w:rsid w:val="009F5BF3"/>
    <w:rsid w:val="009F654C"/>
    <w:rsid w:val="009F6B98"/>
    <w:rsid w:val="009F6CFB"/>
    <w:rsid w:val="009F7A60"/>
    <w:rsid w:val="009F7B41"/>
    <w:rsid w:val="009F7DEB"/>
    <w:rsid w:val="00A00097"/>
    <w:rsid w:val="00A00E5E"/>
    <w:rsid w:val="00A01122"/>
    <w:rsid w:val="00A0169B"/>
    <w:rsid w:val="00A024C2"/>
    <w:rsid w:val="00A03E6E"/>
    <w:rsid w:val="00A04BF0"/>
    <w:rsid w:val="00A04D93"/>
    <w:rsid w:val="00A06848"/>
    <w:rsid w:val="00A07087"/>
    <w:rsid w:val="00A07115"/>
    <w:rsid w:val="00A07409"/>
    <w:rsid w:val="00A10932"/>
    <w:rsid w:val="00A10C73"/>
    <w:rsid w:val="00A10FF2"/>
    <w:rsid w:val="00A11C39"/>
    <w:rsid w:val="00A1206A"/>
    <w:rsid w:val="00A12697"/>
    <w:rsid w:val="00A127CB"/>
    <w:rsid w:val="00A1365D"/>
    <w:rsid w:val="00A13AB5"/>
    <w:rsid w:val="00A147B9"/>
    <w:rsid w:val="00A14866"/>
    <w:rsid w:val="00A15043"/>
    <w:rsid w:val="00A15E12"/>
    <w:rsid w:val="00A163CB"/>
    <w:rsid w:val="00A16BA3"/>
    <w:rsid w:val="00A17202"/>
    <w:rsid w:val="00A20817"/>
    <w:rsid w:val="00A2099D"/>
    <w:rsid w:val="00A216FA"/>
    <w:rsid w:val="00A21CF3"/>
    <w:rsid w:val="00A223B9"/>
    <w:rsid w:val="00A2242F"/>
    <w:rsid w:val="00A228EB"/>
    <w:rsid w:val="00A238DD"/>
    <w:rsid w:val="00A23F42"/>
    <w:rsid w:val="00A23FB8"/>
    <w:rsid w:val="00A24550"/>
    <w:rsid w:val="00A24A4F"/>
    <w:rsid w:val="00A24B95"/>
    <w:rsid w:val="00A24BD9"/>
    <w:rsid w:val="00A251D5"/>
    <w:rsid w:val="00A25E31"/>
    <w:rsid w:val="00A30BDA"/>
    <w:rsid w:val="00A318D4"/>
    <w:rsid w:val="00A31BCD"/>
    <w:rsid w:val="00A3219A"/>
    <w:rsid w:val="00A32CB8"/>
    <w:rsid w:val="00A33480"/>
    <w:rsid w:val="00A34D5E"/>
    <w:rsid w:val="00A3707E"/>
    <w:rsid w:val="00A370DD"/>
    <w:rsid w:val="00A374CC"/>
    <w:rsid w:val="00A4223A"/>
    <w:rsid w:val="00A42937"/>
    <w:rsid w:val="00A4472C"/>
    <w:rsid w:val="00A4584B"/>
    <w:rsid w:val="00A45E9B"/>
    <w:rsid w:val="00A4637C"/>
    <w:rsid w:val="00A4777D"/>
    <w:rsid w:val="00A47FF5"/>
    <w:rsid w:val="00A53250"/>
    <w:rsid w:val="00A533B3"/>
    <w:rsid w:val="00A53A85"/>
    <w:rsid w:val="00A53C94"/>
    <w:rsid w:val="00A53F8D"/>
    <w:rsid w:val="00A54377"/>
    <w:rsid w:val="00A54BC7"/>
    <w:rsid w:val="00A5582A"/>
    <w:rsid w:val="00A570BE"/>
    <w:rsid w:val="00A570E9"/>
    <w:rsid w:val="00A60673"/>
    <w:rsid w:val="00A609EA"/>
    <w:rsid w:val="00A613EA"/>
    <w:rsid w:val="00A61593"/>
    <w:rsid w:val="00A63392"/>
    <w:rsid w:val="00A63DDA"/>
    <w:rsid w:val="00A6424E"/>
    <w:rsid w:val="00A64262"/>
    <w:rsid w:val="00A64290"/>
    <w:rsid w:val="00A64A38"/>
    <w:rsid w:val="00A64ABD"/>
    <w:rsid w:val="00A6616F"/>
    <w:rsid w:val="00A674F5"/>
    <w:rsid w:val="00A677D1"/>
    <w:rsid w:val="00A67965"/>
    <w:rsid w:val="00A700C1"/>
    <w:rsid w:val="00A7167B"/>
    <w:rsid w:val="00A72165"/>
    <w:rsid w:val="00A72702"/>
    <w:rsid w:val="00A72704"/>
    <w:rsid w:val="00A72D4B"/>
    <w:rsid w:val="00A7315E"/>
    <w:rsid w:val="00A7608D"/>
    <w:rsid w:val="00A76AA6"/>
    <w:rsid w:val="00A76DE1"/>
    <w:rsid w:val="00A76F96"/>
    <w:rsid w:val="00A77342"/>
    <w:rsid w:val="00A804B6"/>
    <w:rsid w:val="00A80521"/>
    <w:rsid w:val="00A81F92"/>
    <w:rsid w:val="00A824DB"/>
    <w:rsid w:val="00A828E5"/>
    <w:rsid w:val="00A83841"/>
    <w:rsid w:val="00A85196"/>
    <w:rsid w:val="00A8585A"/>
    <w:rsid w:val="00A86D24"/>
    <w:rsid w:val="00A87420"/>
    <w:rsid w:val="00A87D93"/>
    <w:rsid w:val="00A90DD4"/>
    <w:rsid w:val="00A9218F"/>
    <w:rsid w:val="00A925CC"/>
    <w:rsid w:val="00A928AA"/>
    <w:rsid w:val="00A92B73"/>
    <w:rsid w:val="00A92CE3"/>
    <w:rsid w:val="00A92D61"/>
    <w:rsid w:val="00A933A1"/>
    <w:rsid w:val="00A936EB"/>
    <w:rsid w:val="00A946F0"/>
    <w:rsid w:val="00A94F49"/>
    <w:rsid w:val="00A952C2"/>
    <w:rsid w:val="00A95594"/>
    <w:rsid w:val="00A96BCC"/>
    <w:rsid w:val="00A97576"/>
    <w:rsid w:val="00A97714"/>
    <w:rsid w:val="00A97719"/>
    <w:rsid w:val="00A977AD"/>
    <w:rsid w:val="00AA09D9"/>
    <w:rsid w:val="00AA0D00"/>
    <w:rsid w:val="00AA1584"/>
    <w:rsid w:val="00AA2A5D"/>
    <w:rsid w:val="00AA3DBB"/>
    <w:rsid w:val="00AA427A"/>
    <w:rsid w:val="00AA4550"/>
    <w:rsid w:val="00AA49D0"/>
    <w:rsid w:val="00AA568F"/>
    <w:rsid w:val="00AA77E9"/>
    <w:rsid w:val="00AA7DC8"/>
    <w:rsid w:val="00AB002D"/>
    <w:rsid w:val="00AB1378"/>
    <w:rsid w:val="00AB498C"/>
    <w:rsid w:val="00AB4BB6"/>
    <w:rsid w:val="00AB6D44"/>
    <w:rsid w:val="00AB7321"/>
    <w:rsid w:val="00AB7FD9"/>
    <w:rsid w:val="00AC0CA8"/>
    <w:rsid w:val="00AC1865"/>
    <w:rsid w:val="00AC360D"/>
    <w:rsid w:val="00AC3923"/>
    <w:rsid w:val="00AC3ED9"/>
    <w:rsid w:val="00AC4228"/>
    <w:rsid w:val="00AC515E"/>
    <w:rsid w:val="00AC5297"/>
    <w:rsid w:val="00AC6173"/>
    <w:rsid w:val="00AC72CE"/>
    <w:rsid w:val="00AC7338"/>
    <w:rsid w:val="00AC748A"/>
    <w:rsid w:val="00AD016C"/>
    <w:rsid w:val="00AD129F"/>
    <w:rsid w:val="00AD1E91"/>
    <w:rsid w:val="00AD2740"/>
    <w:rsid w:val="00AD55A6"/>
    <w:rsid w:val="00AD5CC5"/>
    <w:rsid w:val="00AD605F"/>
    <w:rsid w:val="00AD636E"/>
    <w:rsid w:val="00AD65D6"/>
    <w:rsid w:val="00AE0598"/>
    <w:rsid w:val="00AE1EA5"/>
    <w:rsid w:val="00AE2C54"/>
    <w:rsid w:val="00AE3661"/>
    <w:rsid w:val="00AE435E"/>
    <w:rsid w:val="00AE4499"/>
    <w:rsid w:val="00AE57BB"/>
    <w:rsid w:val="00AE5D17"/>
    <w:rsid w:val="00AE61F6"/>
    <w:rsid w:val="00AE6A4A"/>
    <w:rsid w:val="00AF031C"/>
    <w:rsid w:val="00AF0495"/>
    <w:rsid w:val="00AF09EE"/>
    <w:rsid w:val="00AF1164"/>
    <w:rsid w:val="00AF210F"/>
    <w:rsid w:val="00AF2121"/>
    <w:rsid w:val="00AF3657"/>
    <w:rsid w:val="00AF4B90"/>
    <w:rsid w:val="00AF4D66"/>
    <w:rsid w:val="00AF4FE4"/>
    <w:rsid w:val="00AF718D"/>
    <w:rsid w:val="00AF749E"/>
    <w:rsid w:val="00AF7D95"/>
    <w:rsid w:val="00AF7FE9"/>
    <w:rsid w:val="00B004A8"/>
    <w:rsid w:val="00B005FE"/>
    <w:rsid w:val="00B034A7"/>
    <w:rsid w:val="00B042F3"/>
    <w:rsid w:val="00B04E17"/>
    <w:rsid w:val="00B05E38"/>
    <w:rsid w:val="00B06185"/>
    <w:rsid w:val="00B06440"/>
    <w:rsid w:val="00B066C9"/>
    <w:rsid w:val="00B074F8"/>
    <w:rsid w:val="00B07B9D"/>
    <w:rsid w:val="00B10656"/>
    <w:rsid w:val="00B10B9C"/>
    <w:rsid w:val="00B10D3F"/>
    <w:rsid w:val="00B11A11"/>
    <w:rsid w:val="00B13797"/>
    <w:rsid w:val="00B1405A"/>
    <w:rsid w:val="00B144F7"/>
    <w:rsid w:val="00B14580"/>
    <w:rsid w:val="00B14DF6"/>
    <w:rsid w:val="00B15925"/>
    <w:rsid w:val="00B17A12"/>
    <w:rsid w:val="00B2096B"/>
    <w:rsid w:val="00B21819"/>
    <w:rsid w:val="00B21B17"/>
    <w:rsid w:val="00B22BFA"/>
    <w:rsid w:val="00B23D28"/>
    <w:rsid w:val="00B25B15"/>
    <w:rsid w:val="00B25CA7"/>
    <w:rsid w:val="00B25CCD"/>
    <w:rsid w:val="00B26307"/>
    <w:rsid w:val="00B26836"/>
    <w:rsid w:val="00B26942"/>
    <w:rsid w:val="00B26FD1"/>
    <w:rsid w:val="00B33555"/>
    <w:rsid w:val="00B33BF9"/>
    <w:rsid w:val="00B35A5E"/>
    <w:rsid w:val="00B367A7"/>
    <w:rsid w:val="00B37A39"/>
    <w:rsid w:val="00B403FB"/>
    <w:rsid w:val="00B41C1A"/>
    <w:rsid w:val="00B42785"/>
    <w:rsid w:val="00B43448"/>
    <w:rsid w:val="00B436BA"/>
    <w:rsid w:val="00B45281"/>
    <w:rsid w:val="00B47D3D"/>
    <w:rsid w:val="00B50D03"/>
    <w:rsid w:val="00B50EB7"/>
    <w:rsid w:val="00B51611"/>
    <w:rsid w:val="00B51E51"/>
    <w:rsid w:val="00B52348"/>
    <w:rsid w:val="00B5234A"/>
    <w:rsid w:val="00B542AF"/>
    <w:rsid w:val="00B5446C"/>
    <w:rsid w:val="00B547B0"/>
    <w:rsid w:val="00B54FCD"/>
    <w:rsid w:val="00B55160"/>
    <w:rsid w:val="00B551E7"/>
    <w:rsid w:val="00B57411"/>
    <w:rsid w:val="00B577DD"/>
    <w:rsid w:val="00B60B16"/>
    <w:rsid w:val="00B612EA"/>
    <w:rsid w:val="00B6154A"/>
    <w:rsid w:val="00B624FD"/>
    <w:rsid w:val="00B627DB"/>
    <w:rsid w:val="00B62B51"/>
    <w:rsid w:val="00B62C54"/>
    <w:rsid w:val="00B62D64"/>
    <w:rsid w:val="00B62DDB"/>
    <w:rsid w:val="00B63B53"/>
    <w:rsid w:val="00B63BBA"/>
    <w:rsid w:val="00B66947"/>
    <w:rsid w:val="00B67E97"/>
    <w:rsid w:val="00B70443"/>
    <w:rsid w:val="00B70A8C"/>
    <w:rsid w:val="00B7165C"/>
    <w:rsid w:val="00B72198"/>
    <w:rsid w:val="00B72393"/>
    <w:rsid w:val="00B736D0"/>
    <w:rsid w:val="00B74535"/>
    <w:rsid w:val="00B74FC7"/>
    <w:rsid w:val="00B75D26"/>
    <w:rsid w:val="00B75FCE"/>
    <w:rsid w:val="00B76896"/>
    <w:rsid w:val="00B7707B"/>
    <w:rsid w:val="00B80C7B"/>
    <w:rsid w:val="00B81CB8"/>
    <w:rsid w:val="00B828C5"/>
    <w:rsid w:val="00B82B23"/>
    <w:rsid w:val="00B83AE1"/>
    <w:rsid w:val="00B83E0D"/>
    <w:rsid w:val="00B8421A"/>
    <w:rsid w:val="00B85704"/>
    <w:rsid w:val="00B8573B"/>
    <w:rsid w:val="00B8585B"/>
    <w:rsid w:val="00B859D8"/>
    <w:rsid w:val="00B90C9E"/>
    <w:rsid w:val="00B90F4D"/>
    <w:rsid w:val="00B91E4E"/>
    <w:rsid w:val="00B926A1"/>
    <w:rsid w:val="00B93271"/>
    <w:rsid w:val="00B939B2"/>
    <w:rsid w:val="00B9475E"/>
    <w:rsid w:val="00B9498F"/>
    <w:rsid w:val="00B95B16"/>
    <w:rsid w:val="00B95C49"/>
    <w:rsid w:val="00B95FB3"/>
    <w:rsid w:val="00B9687E"/>
    <w:rsid w:val="00B97D3D"/>
    <w:rsid w:val="00B97F0F"/>
    <w:rsid w:val="00BA05A9"/>
    <w:rsid w:val="00BA0F26"/>
    <w:rsid w:val="00BA1C6D"/>
    <w:rsid w:val="00BA2A8A"/>
    <w:rsid w:val="00BA2DC9"/>
    <w:rsid w:val="00BA3409"/>
    <w:rsid w:val="00BA460C"/>
    <w:rsid w:val="00BA560E"/>
    <w:rsid w:val="00BA5F53"/>
    <w:rsid w:val="00BA6D6F"/>
    <w:rsid w:val="00BA6DD9"/>
    <w:rsid w:val="00BA79EE"/>
    <w:rsid w:val="00BA7D9A"/>
    <w:rsid w:val="00BB0390"/>
    <w:rsid w:val="00BB1514"/>
    <w:rsid w:val="00BB22DD"/>
    <w:rsid w:val="00BB2307"/>
    <w:rsid w:val="00BB2C41"/>
    <w:rsid w:val="00BB2D6E"/>
    <w:rsid w:val="00BB33DD"/>
    <w:rsid w:val="00BB3F23"/>
    <w:rsid w:val="00BB42D3"/>
    <w:rsid w:val="00BB4758"/>
    <w:rsid w:val="00BB47F9"/>
    <w:rsid w:val="00BB4841"/>
    <w:rsid w:val="00BB4EFB"/>
    <w:rsid w:val="00BB5DA1"/>
    <w:rsid w:val="00BB5F11"/>
    <w:rsid w:val="00BB615D"/>
    <w:rsid w:val="00BB7765"/>
    <w:rsid w:val="00BB79FB"/>
    <w:rsid w:val="00BC1456"/>
    <w:rsid w:val="00BC2F7A"/>
    <w:rsid w:val="00BC5592"/>
    <w:rsid w:val="00BC6955"/>
    <w:rsid w:val="00BC6BF7"/>
    <w:rsid w:val="00BC6C8C"/>
    <w:rsid w:val="00BC7115"/>
    <w:rsid w:val="00BC74D9"/>
    <w:rsid w:val="00BC7684"/>
    <w:rsid w:val="00BD1F5D"/>
    <w:rsid w:val="00BD2254"/>
    <w:rsid w:val="00BD2CA1"/>
    <w:rsid w:val="00BD5680"/>
    <w:rsid w:val="00BD5C4C"/>
    <w:rsid w:val="00BE0145"/>
    <w:rsid w:val="00BE02DD"/>
    <w:rsid w:val="00BE03EE"/>
    <w:rsid w:val="00BE061D"/>
    <w:rsid w:val="00BE1495"/>
    <w:rsid w:val="00BE17D0"/>
    <w:rsid w:val="00BE1B2F"/>
    <w:rsid w:val="00BE2D9D"/>
    <w:rsid w:val="00BE46F7"/>
    <w:rsid w:val="00BE6634"/>
    <w:rsid w:val="00BE710A"/>
    <w:rsid w:val="00BF02A4"/>
    <w:rsid w:val="00BF09A8"/>
    <w:rsid w:val="00BF0C92"/>
    <w:rsid w:val="00BF2399"/>
    <w:rsid w:val="00BF28A2"/>
    <w:rsid w:val="00BF4BA0"/>
    <w:rsid w:val="00BF5C66"/>
    <w:rsid w:val="00BF69AB"/>
    <w:rsid w:val="00BF7448"/>
    <w:rsid w:val="00C004A6"/>
    <w:rsid w:val="00C004CB"/>
    <w:rsid w:val="00C00757"/>
    <w:rsid w:val="00C0077D"/>
    <w:rsid w:val="00C00D13"/>
    <w:rsid w:val="00C02A15"/>
    <w:rsid w:val="00C07C1D"/>
    <w:rsid w:val="00C07F75"/>
    <w:rsid w:val="00C11009"/>
    <w:rsid w:val="00C113DA"/>
    <w:rsid w:val="00C13174"/>
    <w:rsid w:val="00C1450F"/>
    <w:rsid w:val="00C15B25"/>
    <w:rsid w:val="00C178AB"/>
    <w:rsid w:val="00C17E95"/>
    <w:rsid w:val="00C20A14"/>
    <w:rsid w:val="00C21068"/>
    <w:rsid w:val="00C21AAC"/>
    <w:rsid w:val="00C22AAD"/>
    <w:rsid w:val="00C22DD4"/>
    <w:rsid w:val="00C23D7D"/>
    <w:rsid w:val="00C24920"/>
    <w:rsid w:val="00C259FD"/>
    <w:rsid w:val="00C26174"/>
    <w:rsid w:val="00C26F99"/>
    <w:rsid w:val="00C27480"/>
    <w:rsid w:val="00C27872"/>
    <w:rsid w:val="00C30338"/>
    <w:rsid w:val="00C30CA8"/>
    <w:rsid w:val="00C322C5"/>
    <w:rsid w:val="00C33D68"/>
    <w:rsid w:val="00C341AF"/>
    <w:rsid w:val="00C34465"/>
    <w:rsid w:val="00C3510B"/>
    <w:rsid w:val="00C42B27"/>
    <w:rsid w:val="00C42CD2"/>
    <w:rsid w:val="00C4330A"/>
    <w:rsid w:val="00C43AE1"/>
    <w:rsid w:val="00C4458D"/>
    <w:rsid w:val="00C44F10"/>
    <w:rsid w:val="00C45319"/>
    <w:rsid w:val="00C46203"/>
    <w:rsid w:val="00C46594"/>
    <w:rsid w:val="00C46860"/>
    <w:rsid w:val="00C46BBC"/>
    <w:rsid w:val="00C4787C"/>
    <w:rsid w:val="00C51614"/>
    <w:rsid w:val="00C52332"/>
    <w:rsid w:val="00C526A2"/>
    <w:rsid w:val="00C52AAD"/>
    <w:rsid w:val="00C536A0"/>
    <w:rsid w:val="00C53964"/>
    <w:rsid w:val="00C553EA"/>
    <w:rsid w:val="00C56BDD"/>
    <w:rsid w:val="00C60F6B"/>
    <w:rsid w:val="00C62793"/>
    <w:rsid w:val="00C628C6"/>
    <w:rsid w:val="00C63C81"/>
    <w:rsid w:val="00C64FDE"/>
    <w:rsid w:val="00C656D8"/>
    <w:rsid w:val="00C65892"/>
    <w:rsid w:val="00C70061"/>
    <w:rsid w:val="00C706DE"/>
    <w:rsid w:val="00C7141D"/>
    <w:rsid w:val="00C71F2F"/>
    <w:rsid w:val="00C73319"/>
    <w:rsid w:val="00C73961"/>
    <w:rsid w:val="00C73A0E"/>
    <w:rsid w:val="00C74216"/>
    <w:rsid w:val="00C744FF"/>
    <w:rsid w:val="00C75B42"/>
    <w:rsid w:val="00C76277"/>
    <w:rsid w:val="00C765BA"/>
    <w:rsid w:val="00C76A77"/>
    <w:rsid w:val="00C77501"/>
    <w:rsid w:val="00C80296"/>
    <w:rsid w:val="00C80DCB"/>
    <w:rsid w:val="00C80E50"/>
    <w:rsid w:val="00C82C49"/>
    <w:rsid w:val="00C8316D"/>
    <w:rsid w:val="00C83376"/>
    <w:rsid w:val="00C8491A"/>
    <w:rsid w:val="00C84C49"/>
    <w:rsid w:val="00C85714"/>
    <w:rsid w:val="00C869BE"/>
    <w:rsid w:val="00C869DA"/>
    <w:rsid w:val="00C87BC6"/>
    <w:rsid w:val="00C87C4E"/>
    <w:rsid w:val="00C90E6E"/>
    <w:rsid w:val="00C91966"/>
    <w:rsid w:val="00C91F7F"/>
    <w:rsid w:val="00C93664"/>
    <w:rsid w:val="00C946EE"/>
    <w:rsid w:val="00C94758"/>
    <w:rsid w:val="00C94C31"/>
    <w:rsid w:val="00C9568D"/>
    <w:rsid w:val="00C95E9D"/>
    <w:rsid w:val="00C9671A"/>
    <w:rsid w:val="00C96CBE"/>
    <w:rsid w:val="00C97144"/>
    <w:rsid w:val="00C978FC"/>
    <w:rsid w:val="00CA063A"/>
    <w:rsid w:val="00CA07B7"/>
    <w:rsid w:val="00CA0D7E"/>
    <w:rsid w:val="00CA1229"/>
    <w:rsid w:val="00CA3138"/>
    <w:rsid w:val="00CA3E9F"/>
    <w:rsid w:val="00CA4526"/>
    <w:rsid w:val="00CA6DE1"/>
    <w:rsid w:val="00CA7AD6"/>
    <w:rsid w:val="00CA7D7C"/>
    <w:rsid w:val="00CA7F11"/>
    <w:rsid w:val="00CB004A"/>
    <w:rsid w:val="00CB1777"/>
    <w:rsid w:val="00CB2C15"/>
    <w:rsid w:val="00CB2C41"/>
    <w:rsid w:val="00CB3CF9"/>
    <w:rsid w:val="00CB50B8"/>
    <w:rsid w:val="00CB56F5"/>
    <w:rsid w:val="00CB5871"/>
    <w:rsid w:val="00CB5E8B"/>
    <w:rsid w:val="00CB6147"/>
    <w:rsid w:val="00CB6EF7"/>
    <w:rsid w:val="00CB7C8D"/>
    <w:rsid w:val="00CC0C2A"/>
    <w:rsid w:val="00CC222A"/>
    <w:rsid w:val="00CC3BCD"/>
    <w:rsid w:val="00CC5E81"/>
    <w:rsid w:val="00CC67C6"/>
    <w:rsid w:val="00CC71C7"/>
    <w:rsid w:val="00CC7AAB"/>
    <w:rsid w:val="00CD00CC"/>
    <w:rsid w:val="00CD027F"/>
    <w:rsid w:val="00CD222A"/>
    <w:rsid w:val="00CD2468"/>
    <w:rsid w:val="00CD4810"/>
    <w:rsid w:val="00CD4AB5"/>
    <w:rsid w:val="00CD4BF5"/>
    <w:rsid w:val="00CD7208"/>
    <w:rsid w:val="00CE1263"/>
    <w:rsid w:val="00CE14B1"/>
    <w:rsid w:val="00CE1B3C"/>
    <w:rsid w:val="00CE2564"/>
    <w:rsid w:val="00CE26A3"/>
    <w:rsid w:val="00CE28FD"/>
    <w:rsid w:val="00CE2FC8"/>
    <w:rsid w:val="00CE3645"/>
    <w:rsid w:val="00CE4E70"/>
    <w:rsid w:val="00CE5091"/>
    <w:rsid w:val="00CE63F2"/>
    <w:rsid w:val="00CE66F2"/>
    <w:rsid w:val="00CE7B36"/>
    <w:rsid w:val="00CF0241"/>
    <w:rsid w:val="00CF2D02"/>
    <w:rsid w:val="00CF336C"/>
    <w:rsid w:val="00CF3EE1"/>
    <w:rsid w:val="00CF5146"/>
    <w:rsid w:val="00CF56D9"/>
    <w:rsid w:val="00CF5F1C"/>
    <w:rsid w:val="00CF6DF3"/>
    <w:rsid w:val="00CF6E80"/>
    <w:rsid w:val="00CF7DA9"/>
    <w:rsid w:val="00D00651"/>
    <w:rsid w:val="00D02477"/>
    <w:rsid w:val="00D02CDC"/>
    <w:rsid w:val="00D03455"/>
    <w:rsid w:val="00D0377E"/>
    <w:rsid w:val="00D037DF"/>
    <w:rsid w:val="00D042D2"/>
    <w:rsid w:val="00D0444B"/>
    <w:rsid w:val="00D04594"/>
    <w:rsid w:val="00D0463B"/>
    <w:rsid w:val="00D053AD"/>
    <w:rsid w:val="00D055B2"/>
    <w:rsid w:val="00D056BE"/>
    <w:rsid w:val="00D05C34"/>
    <w:rsid w:val="00D06767"/>
    <w:rsid w:val="00D06D03"/>
    <w:rsid w:val="00D133FA"/>
    <w:rsid w:val="00D13E32"/>
    <w:rsid w:val="00D14BE9"/>
    <w:rsid w:val="00D14CC7"/>
    <w:rsid w:val="00D1540E"/>
    <w:rsid w:val="00D15741"/>
    <w:rsid w:val="00D1693B"/>
    <w:rsid w:val="00D17640"/>
    <w:rsid w:val="00D20DD5"/>
    <w:rsid w:val="00D211E2"/>
    <w:rsid w:val="00D21B4D"/>
    <w:rsid w:val="00D21FEC"/>
    <w:rsid w:val="00D22AAD"/>
    <w:rsid w:val="00D22CF0"/>
    <w:rsid w:val="00D233B0"/>
    <w:rsid w:val="00D23C0C"/>
    <w:rsid w:val="00D25AA5"/>
    <w:rsid w:val="00D27BE7"/>
    <w:rsid w:val="00D3046E"/>
    <w:rsid w:val="00D30E8D"/>
    <w:rsid w:val="00D3234F"/>
    <w:rsid w:val="00D337EC"/>
    <w:rsid w:val="00D34068"/>
    <w:rsid w:val="00D34FA4"/>
    <w:rsid w:val="00D36072"/>
    <w:rsid w:val="00D364AB"/>
    <w:rsid w:val="00D36C54"/>
    <w:rsid w:val="00D40E32"/>
    <w:rsid w:val="00D422E2"/>
    <w:rsid w:val="00D434DD"/>
    <w:rsid w:val="00D4564B"/>
    <w:rsid w:val="00D46899"/>
    <w:rsid w:val="00D52351"/>
    <w:rsid w:val="00D5314C"/>
    <w:rsid w:val="00D5331B"/>
    <w:rsid w:val="00D55626"/>
    <w:rsid w:val="00D5741F"/>
    <w:rsid w:val="00D57677"/>
    <w:rsid w:val="00D6210D"/>
    <w:rsid w:val="00D65608"/>
    <w:rsid w:val="00D65BB9"/>
    <w:rsid w:val="00D65C02"/>
    <w:rsid w:val="00D6742D"/>
    <w:rsid w:val="00D676D4"/>
    <w:rsid w:val="00D7090E"/>
    <w:rsid w:val="00D7099B"/>
    <w:rsid w:val="00D719EF"/>
    <w:rsid w:val="00D720B2"/>
    <w:rsid w:val="00D722C0"/>
    <w:rsid w:val="00D72365"/>
    <w:rsid w:val="00D72762"/>
    <w:rsid w:val="00D72A0F"/>
    <w:rsid w:val="00D73180"/>
    <w:rsid w:val="00D7360B"/>
    <w:rsid w:val="00D742B3"/>
    <w:rsid w:val="00D764B4"/>
    <w:rsid w:val="00D7678C"/>
    <w:rsid w:val="00D774B4"/>
    <w:rsid w:val="00D77920"/>
    <w:rsid w:val="00D7794A"/>
    <w:rsid w:val="00D77DAE"/>
    <w:rsid w:val="00D811CA"/>
    <w:rsid w:val="00D81F11"/>
    <w:rsid w:val="00D82985"/>
    <w:rsid w:val="00D8325F"/>
    <w:rsid w:val="00D83BF0"/>
    <w:rsid w:val="00D84BBC"/>
    <w:rsid w:val="00D852A9"/>
    <w:rsid w:val="00D85CD1"/>
    <w:rsid w:val="00D85F42"/>
    <w:rsid w:val="00D86163"/>
    <w:rsid w:val="00D8693D"/>
    <w:rsid w:val="00D86CD1"/>
    <w:rsid w:val="00D86D68"/>
    <w:rsid w:val="00D8727B"/>
    <w:rsid w:val="00D92A4E"/>
    <w:rsid w:val="00D939AF"/>
    <w:rsid w:val="00D93B3D"/>
    <w:rsid w:val="00D94739"/>
    <w:rsid w:val="00D9599D"/>
    <w:rsid w:val="00D95C05"/>
    <w:rsid w:val="00D95C7D"/>
    <w:rsid w:val="00D96C59"/>
    <w:rsid w:val="00DA0116"/>
    <w:rsid w:val="00DA05B0"/>
    <w:rsid w:val="00DA0E1C"/>
    <w:rsid w:val="00DA1FE6"/>
    <w:rsid w:val="00DA60AB"/>
    <w:rsid w:val="00DA62A4"/>
    <w:rsid w:val="00DA6835"/>
    <w:rsid w:val="00DA6E68"/>
    <w:rsid w:val="00DA705B"/>
    <w:rsid w:val="00DA7960"/>
    <w:rsid w:val="00DB1B53"/>
    <w:rsid w:val="00DB4485"/>
    <w:rsid w:val="00DC010C"/>
    <w:rsid w:val="00DC062F"/>
    <w:rsid w:val="00DC131F"/>
    <w:rsid w:val="00DC1FBF"/>
    <w:rsid w:val="00DC2BD8"/>
    <w:rsid w:val="00DC2C3C"/>
    <w:rsid w:val="00DC41B2"/>
    <w:rsid w:val="00DC47CE"/>
    <w:rsid w:val="00DC49EB"/>
    <w:rsid w:val="00DC6282"/>
    <w:rsid w:val="00DC708F"/>
    <w:rsid w:val="00DC729E"/>
    <w:rsid w:val="00DC7340"/>
    <w:rsid w:val="00DC7E40"/>
    <w:rsid w:val="00DC7E9F"/>
    <w:rsid w:val="00DD15AE"/>
    <w:rsid w:val="00DD338F"/>
    <w:rsid w:val="00DD3DE7"/>
    <w:rsid w:val="00DD4333"/>
    <w:rsid w:val="00DD4414"/>
    <w:rsid w:val="00DD4C48"/>
    <w:rsid w:val="00DD5CB8"/>
    <w:rsid w:val="00DD5FEE"/>
    <w:rsid w:val="00DD731F"/>
    <w:rsid w:val="00DD77E3"/>
    <w:rsid w:val="00DD7AED"/>
    <w:rsid w:val="00DE1DF5"/>
    <w:rsid w:val="00DE1E57"/>
    <w:rsid w:val="00DE1E71"/>
    <w:rsid w:val="00DE4050"/>
    <w:rsid w:val="00DE466E"/>
    <w:rsid w:val="00DE4ABF"/>
    <w:rsid w:val="00DE5A03"/>
    <w:rsid w:val="00DE60E6"/>
    <w:rsid w:val="00DE65AB"/>
    <w:rsid w:val="00DE6C97"/>
    <w:rsid w:val="00DE7558"/>
    <w:rsid w:val="00DE79D0"/>
    <w:rsid w:val="00DE7A27"/>
    <w:rsid w:val="00DE7B98"/>
    <w:rsid w:val="00DF1968"/>
    <w:rsid w:val="00DF34E5"/>
    <w:rsid w:val="00DF4BC6"/>
    <w:rsid w:val="00DF686E"/>
    <w:rsid w:val="00E00406"/>
    <w:rsid w:val="00E00ADC"/>
    <w:rsid w:val="00E01356"/>
    <w:rsid w:val="00E019A7"/>
    <w:rsid w:val="00E02810"/>
    <w:rsid w:val="00E03B47"/>
    <w:rsid w:val="00E044FC"/>
    <w:rsid w:val="00E04BAA"/>
    <w:rsid w:val="00E04FE9"/>
    <w:rsid w:val="00E05991"/>
    <w:rsid w:val="00E0609D"/>
    <w:rsid w:val="00E06A93"/>
    <w:rsid w:val="00E06AEC"/>
    <w:rsid w:val="00E070CD"/>
    <w:rsid w:val="00E07864"/>
    <w:rsid w:val="00E07AAF"/>
    <w:rsid w:val="00E07B6C"/>
    <w:rsid w:val="00E07DAD"/>
    <w:rsid w:val="00E10119"/>
    <w:rsid w:val="00E111FC"/>
    <w:rsid w:val="00E12A26"/>
    <w:rsid w:val="00E1391D"/>
    <w:rsid w:val="00E13E89"/>
    <w:rsid w:val="00E1493B"/>
    <w:rsid w:val="00E15016"/>
    <w:rsid w:val="00E16EAE"/>
    <w:rsid w:val="00E1745E"/>
    <w:rsid w:val="00E21495"/>
    <w:rsid w:val="00E2185F"/>
    <w:rsid w:val="00E21AA9"/>
    <w:rsid w:val="00E251B8"/>
    <w:rsid w:val="00E300B7"/>
    <w:rsid w:val="00E30195"/>
    <w:rsid w:val="00E307A4"/>
    <w:rsid w:val="00E32580"/>
    <w:rsid w:val="00E33611"/>
    <w:rsid w:val="00E3482E"/>
    <w:rsid w:val="00E34C17"/>
    <w:rsid w:val="00E364D8"/>
    <w:rsid w:val="00E3678A"/>
    <w:rsid w:val="00E3685B"/>
    <w:rsid w:val="00E36ACB"/>
    <w:rsid w:val="00E36FF9"/>
    <w:rsid w:val="00E37966"/>
    <w:rsid w:val="00E37EC8"/>
    <w:rsid w:val="00E37F16"/>
    <w:rsid w:val="00E37FAB"/>
    <w:rsid w:val="00E42089"/>
    <w:rsid w:val="00E422C7"/>
    <w:rsid w:val="00E446BD"/>
    <w:rsid w:val="00E44E51"/>
    <w:rsid w:val="00E452DD"/>
    <w:rsid w:val="00E459F9"/>
    <w:rsid w:val="00E46A96"/>
    <w:rsid w:val="00E47479"/>
    <w:rsid w:val="00E47854"/>
    <w:rsid w:val="00E5028F"/>
    <w:rsid w:val="00E515A5"/>
    <w:rsid w:val="00E51793"/>
    <w:rsid w:val="00E51C62"/>
    <w:rsid w:val="00E51FAD"/>
    <w:rsid w:val="00E52851"/>
    <w:rsid w:val="00E55CC5"/>
    <w:rsid w:val="00E56F3A"/>
    <w:rsid w:val="00E57277"/>
    <w:rsid w:val="00E5743C"/>
    <w:rsid w:val="00E57B08"/>
    <w:rsid w:val="00E57EE2"/>
    <w:rsid w:val="00E6029A"/>
    <w:rsid w:val="00E60382"/>
    <w:rsid w:val="00E6045E"/>
    <w:rsid w:val="00E6087C"/>
    <w:rsid w:val="00E61104"/>
    <w:rsid w:val="00E61C63"/>
    <w:rsid w:val="00E61D15"/>
    <w:rsid w:val="00E6253F"/>
    <w:rsid w:val="00E63757"/>
    <w:rsid w:val="00E64072"/>
    <w:rsid w:val="00E64A6D"/>
    <w:rsid w:val="00E65053"/>
    <w:rsid w:val="00E6598D"/>
    <w:rsid w:val="00E65C98"/>
    <w:rsid w:val="00E662CA"/>
    <w:rsid w:val="00E6713E"/>
    <w:rsid w:val="00E67309"/>
    <w:rsid w:val="00E674D9"/>
    <w:rsid w:val="00E67E2B"/>
    <w:rsid w:val="00E705F5"/>
    <w:rsid w:val="00E71D82"/>
    <w:rsid w:val="00E7295B"/>
    <w:rsid w:val="00E72E62"/>
    <w:rsid w:val="00E739E8"/>
    <w:rsid w:val="00E74FB3"/>
    <w:rsid w:val="00E74FF3"/>
    <w:rsid w:val="00E76031"/>
    <w:rsid w:val="00E76633"/>
    <w:rsid w:val="00E77518"/>
    <w:rsid w:val="00E80794"/>
    <w:rsid w:val="00E80987"/>
    <w:rsid w:val="00E8139A"/>
    <w:rsid w:val="00E81A65"/>
    <w:rsid w:val="00E82068"/>
    <w:rsid w:val="00E82F5A"/>
    <w:rsid w:val="00E85652"/>
    <w:rsid w:val="00E85CA8"/>
    <w:rsid w:val="00E860A5"/>
    <w:rsid w:val="00E868F5"/>
    <w:rsid w:val="00E86FB4"/>
    <w:rsid w:val="00E87937"/>
    <w:rsid w:val="00E8798E"/>
    <w:rsid w:val="00E87DF0"/>
    <w:rsid w:val="00E90273"/>
    <w:rsid w:val="00E90692"/>
    <w:rsid w:val="00E91DA8"/>
    <w:rsid w:val="00E9358F"/>
    <w:rsid w:val="00E949DE"/>
    <w:rsid w:val="00E960F9"/>
    <w:rsid w:val="00E96109"/>
    <w:rsid w:val="00E97ADB"/>
    <w:rsid w:val="00EA08A6"/>
    <w:rsid w:val="00EA177A"/>
    <w:rsid w:val="00EA1C82"/>
    <w:rsid w:val="00EA2380"/>
    <w:rsid w:val="00EA2E0D"/>
    <w:rsid w:val="00EA4324"/>
    <w:rsid w:val="00EA495D"/>
    <w:rsid w:val="00EA4E4F"/>
    <w:rsid w:val="00EA5486"/>
    <w:rsid w:val="00EA616D"/>
    <w:rsid w:val="00EB03A0"/>
    <w:rsid w:val="00EB1DF4"/>
    <w:rsid w:val="00EB3BB7"/>
    <w:rsid w:val="00EB5386"/>
    <w:rsid w:val="00EB6320"/>
    <w:rsid w:val="00EB6387"/>
    <w:rsid w:val="00EB707A"/>
    <w:rsid w:val="00EC0447"/>
    <w:rsid w:val="00EC1167"/>
    <w:rsid w:val="00EC159B"/>
    <w:rsid w:val="00EC15C2"/>
    <w:rsid w:val="00EC28A2"/>
    <w:rsid w:val="00EC33C4"/>
    <w:rsid w:val="00EC33F7"/>
    <w:rsid w:val="00EC5628"/>
    <w:rsid w:val="00EC56A3"/>
    <w:rsid w:val="00EC5FD8"/>
    <w:rsid w:val="00EC64CB"/>
    <w:rsid w:val="00EC7C70"/>
    <w:rsid w:val="00EC7C9F"/>
    <w:rsid w:val="00ED03B6"/>
    <w:rsid w:val="00ED067E"/>
    <w:rsid w:val="00ED13CF"/>
    <w:rsid w:val="00ED1699"/>
    <w:rsid w:val="00ED1C59"/>
    <w:rsid w:val="00ED1CAA"/>
    <w:rsid w:val="00ED2189"/>
    <w:rsid w:val="00ED2532"/>
    <w:rsid w:val="00ED344A"/>
    <w:rsid w:val="00ED3EBF"/>
    <w:rsid w:val="00ED47D4"/>
    <w:rsid w:val="00ED4D97"/>
    <w:rsid w:val="00ED5235"/>
    <w:rsid w:val="00ED57AA"/>
    <w:rsid w:val="00ED5C01"/>
    <w:rsid w:val="00ED7257"/>
    <w:rsid w:val="00ED77FA"/>
    <w:rsid w:val="00EE14EB"/>
    <w:rsid w:val="00EE1C69"/>
    <w:rsid w:val="00EE2278"/>
    <w:rsid w:val="00EE2333"/>
    <w:rsid w:val="00EE30DE"/>
    <w:rsid w:val="00EE3F5B"/>
    <w:rsid w:val="00EE5BA8"/>
    <w:rsid w:val="00EE61A3"/>
    <w:rsid w:val="00EE6BD0"/>
    <w:rsid w:val="00EF0160"/>
    <w:rsid w:val="00EF0845"/>
    <w:rsid w:val="00EF1FB8"/>
    <w:rsid w:val="00EF20A0"/>
    <w:rsid w:val="00EF301E"/>
    <w:rsid w:val="00EF32D8"/>
    <w:rsid w:val="00EF33D2"/>
    <w:rsid w:val="00EF3710"/>
    <w:rsid w:val="00EF4CD3"/>
    <w:rsid w:val="00EF5687"/>
    <w:rsid w:val="00EF583B"/>
    <w:rsid w:val="00F006BB"/>
    <w:rsid w:val="00F0082B"/>
    <w:rsid w:val="00F0095E"/>
    <w:rsid w:val="00F00C2D"/>
    <w:rsid w:val="00F00C9C"/>
    <w:rsid w:val="00F01B7F"/>
    <w:rsid w:val="00F0228F"/>
    <w:rsid w:val="00F02521"/>
    <w:rsid w:val="00F03139"/>
    <w:rsid w:val="00F035FE"/>
    <w:rsid w:val="00F03FF8"/>
    <w:rsid w:val="00F04B10"/>
    <w:rsid w:val="00F05114"/>
    <w:rsid w:val="00F056BB"/>
    <w:rsid w:val="00F066A4"/>
    <w:rsid w:val="00F10094"/>
    <w:rsid w:val="00F1026C"/>
    <w:rsid w:val="00F107F5"/>
    <w:rsid w:val="00F11736"/>
    <w:rsid w:val="00F11D79"/>
    <w:rsid w:val="00F12250"/>
    <w:rsid w:val="00F133CE"/>
    <w:rsid w:val="00F1353E"/>
    <w:rsid w:val="00F13D4A"/>
    <w:rsid w:val="00F13EAB"/>
    <w:rsid w:val="00F14AEA"/>
    <w:rsid w:val="00F1520A"/>
    <w:rsid w:val="00F17F7C"/>
    <w:rsid w:val="00F202B5"/>
    <w:rsid w:val="00F20F5B"/>
    <w:rsid w:val="00F210F3"/>
    <w:rsid w:val="00F212F4"/>
    <w:rsid w:val="00F21D61"/>
    <w:rsid w:val="00F22185"/>
    <w:rsid w:val="00F23941"/>
    <w:rsid w:val="00F23CD9"/>
    <w:rsid w:val="00F249A6"/>
    <w:rsid w:val="00F252D2"/>
    <w:rsid w:val="00F25B72"/>
    <w:rsid w:val="00F261BC"/>
    <w:rsid w:val="00F26A30"/>
    <w:rsid w:val="00F26E1F"/>
    <w:rsid w:val="00F2795F"/>
    <w:rsid w:val="00F27E7C"/>
    <w:rsid w:val="00F3081F"/>
    <w:rsid w:val="00F30E90"/>
    <w:rsid w:val="00F31459"/>
    <w:rsid w:val="00F31D97"/>
    <w:rsid w:val="00F335F1"/>
    <w:rsid w:val="00F33C0A"/>
    <w:rsid w:val="00F35509"/>
    <w:rsid w:val="00F3793A"/>
    <w:rsid w:val="00F40404"/>
    <w:rsid w:val="00F406E4"/>
    <w:rsid w:val="00F40B20"/>
    <w:rsid w:val="00F4267E"/>
    <w:rsid w:val="00F446EB"/>
    <w:rsid w:val="00F45112"/>
    <w:rsid w:val="00F4769B"/>
    <w:rsid w:val="00F508EE"/>
    <w:rsid w:val="00F50C31"/>
    <w:rsid w:val="00F51354"/>
    <w:rsid w:val="00F51A7D"/>
    <w:rsid w:val="00F524FF"/>
    <w:rsid w:val="00F5420F"/>
    <w:rsid w:val="00F55586"/>
    <w:rsid w:val="00F56122"/>
    <w:rsid w:val="00F56DD3"/>
    <w:rsid w:val="00F57329"/>
    <w:rsid w:val="00F57EBB"/>
    <w:rsid w:val="00F61487"/>
    <w:rsid w:val="00F616F8"/>
    <w:rsid w:val="00F63704"/>
    <w:rsid w:val="00F6480B"/>
    <w:rsid w:val="00F662CD"/>
    <w:rsid w:val="00F70013"/>
    <w:rsid w:val="00F70443"/>
    <w:rsid w:val="00F70D1B"/>
    <w:rsid w:val="00F71613"/>
    <w:rsid w:val="00F730AD"/>
    <w:rsid w:val="00F7339C"/>
    <w:rsid w:val="00F734F9"/>
    <w:rsid w:val="00F73805"/>
    <w:rsid w:val="00F745B1"/>
    <w:rsid w:val="00F74BE8"/>
    <w:rsid w:val="00F75023"/>
    <w:rsid w:val="00F756A3"/>
    <w:rsid w:val="00F76F57"/>
    <w:rsid w:val="00F7740A"/>
    <w:rsid w:val="00F8024E"/>
    <w:rsid w:val="00F80AA9"/>
    <w:rsid w:val="00F80CEB"/>
    <w:rsid w:val="00F81839"/>
    <w:rsid w:val="00F81AD0"/>
    <w:rsid w:val="00F83752"/>
    <w:rsid w:val="00F83E52"/>
    <w:rsid w:val="00F84913"/>
    <w:rsid w:val="00F85631"/>
    <w:rsid w:val="00F85EFF"/>
    <w:rsid w:val="00F866B0"/>
    <w:rsid w:val="00F86B6F"/>
    <w:rsid w:val="00F86BB2"/>
    <w:rsid w:val="00F87348"/>
    <w:rsid w:val="00F90648"/>
    <w:rsid w:val="00F90AFD"/>
    <w:rsid w:val="00F9153B"/>
    <w:rsid w:val="00F922AE"/>
    <w:rsid w:val="00F9502A"/>
    <w:rsid w:val="00F95689"/>
    <w:rsid w:val="00F9599E"/>
    <w:rsid w:val="00F96209"/>
    <w:rsid w:val="00F966B2"/>
    <w:rsid w:val="00F97565"/>
    <w:rsid w:val="00F97A0E"/>
    <w:rsid w:val="00FA0883"/>
    <w:rsid w:val="00FA093C"/>
    <w:rsid w:val="00FA0A63"/>
    <w:rsid w:val="00FA1B26"/>
    <w:rsid w:val="00FA48E6"/>
    <w:rsid w:val="00FA5526"/>
    <w:rsid w:val="00FA60A9"/>
    <w:rsid w:val="00FA70DE"/>
    <w:rsid w:val="00FA7ED2"/>
    <w:rsid w:val="00FA7F5B"/>
    <w:rsid w:val="00FB0562"/>
    <w:rsid w:val="00FB18D7"/>
    <w:rsid w:val="00FB2436"/>
    <w:rsid w:val="00FB36D2"/>
    <w:rsid w:val="00FB384D"/>
    <w:rsid w:val="00FB3D88"/>
    <w:rsid w:val="00FB415D"/>
    <w:rsid w:val="00FB42A3"/>
    <w:rsid w:val="00FB6AAE"/>
    <w:rsid w:val="00FB7528"/>
    <w:rsid w:val="00FB7550"/>
    <w:rsid w:val="00FB7569"/>
    <w:rsid w:val="00FB774B"/>
    <w:rsid w:val="00FC0E7D"/>
    <w:rsid w:val="00FC180C"/>
    <w:rsid w:val="00FC2DE9"/>
    <w:rsid w:val="00FC3BA5"/>
    <w:rsid w:val="00FC4582"/>
    <w:rsid w:val="00FC4C7A"/>
    <w:rsid w:val="00FC51DD"/>
    <w:rsid w:val="00FC51F5"/>
    <w:rsid w:val="00FC5491"/>
    <w:rsid w:val="00FC6802"/>
    <w:rsid w:val="00FC7B3F"/>
    <w:rsid w:val="00FD02ED"/>
    <w:rsid w:val="00FD0584"/>
    <w:rsid w:val="00FD18C3"/>
    <w:rsid w:val="00FD194C"/>
    <w:rsid w:val="00FD203D"/>
    <w:rsid w:val="00FD2149"/>
    <w:rsid w:val="00FD2D62"/>
    <w:rsid w:val="00FD4DD6"/>
    <w:rsid w:val="00FD538B"/>
    <w:rsid w:val="00FD5EE9"/>
    <w:rsid w:val="00FD61A3"/>
    <w:rsid w:val="00FD6771"/>
    <w:rsid w:val="00FD6CB2"/>
    <w:rsid w:val="00FD73E0"/>
    <w:rsid w:val="00FE090D"/>
    <w:rsid w:val="00FE22B7"/>
    <w:rsid w:val="00FE3596"/>
    <w:rsid w:val="00FE43F6"/>
    <w:rsid w:val="00FE4929"/>
    <w:rsid w:val="00FE4A89"/>
    <w:rsid w:val="00FE5AE9"/>
    <w:rsid w:val="00FE7177"/>
    <w:rsid w:val="00FE71FA"/>
    <w:rsid w:val="00FE78F4"/>
    <w:rsid w:val="00FE795F"/>
    <w:rsid w:val="00FF196B"/>
    <w:rsid w:val="00FF1E42"/>
    <w:rsid w:val="00FF1FA9"/>
    <w:rsid w:val="00FF2198"/>
    <w:rsid w:val="00FF25D6"/>
    <w:rsid w:val="00FF38F8"/>
    <w:rsid w:val="00FF3A3F"/>
    <w:rsid w:val="00FF4018"/>
    <w:rsid w:val="04318B16"/>
    <w:rsid w:val="12A4BF33"/>
    <w:rsid w:val="4243A393"/>
    <w:rsid w:val="592E21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3D74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871"/>
    <w:rPr>
      <w:rFonts w:ascii="Arial" w:hAnsi="Arial"/>
      <w:sz w:val="28"/>
    </w:rPr>
  </w:style>
  <w:style w:type="paragraph" w:styleId="Heading1">
    <w:name w:val="heading 1"/>
    <w:basedOn w:val="Normal"/>
    <w:link w:val="Heading1Char"/>
    <w:uiPriority w:val="9"/>
    <w:qFormat/>
    <w:rsid w:val="00CB5871"/>
    <w:pPr>
      <w:spacing w:before="100" w:beforeAutospacing="1" w:after="100" w:afterAutospacing="1" w:line="240" w:lineRule="auto"/>
      <w:outlineLvl w:val="0"/>
    </w:pPr>
    <w:rPr>
      <w:rFonts w:eastAsia="Times New Roman" w:cs="Times New Roman"/>
      <w:b/>
      <w:bCs/>
      <w:kern w:val="36"/>
      <w:sz w:val="36"/>
      <w:szCs w:val="48"/>
      <w:lang w:eastAsia="en-GB"/>
      <w14:ligatures w14:val="none"/>
    </w:rPr>
  </w:style>
  <w:style w:type="paragraph" w:styleId="Heading2">
    <w:name w:val="heading 2"/>
    <w:basedOn w:val="Normal"/>
    <w:next w:val="Normal"/>
    <w:link w:val="Heading2Char"/>
    <w:uiPriority w:val="9"/>
    <w:unhideWhenUsed/>
    <w:qFormat/>
    <w:rsid w:val="00CB5871"/>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B10B9C"/>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3B8"/>
    <w:pPr>
      <w:ind w:left="720"/>
      <w:contextualSpacing/>
    </w:pPr>
  </w:style>
  <w:style w:type="paragraph" w:styleId="Header">
    <w:name w:val="header"/>
    <w:basedOn w:val="Normal"/>
    <w:link w:val="HeaderChar"/>
    <w:uiPriority w:val="99"/>
    <w:unhideWhenUsed/>
    <w:rsid w:val="000039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39B6"/>
  </w:style>
  <w:style w:type="paragraph" w:styleId="Footer">
    <w:name w:val="footer"/>
    <w:basedOn w:val="Normal"/>
    <w:link w:val="FooterChar"/>
    <w:uiPriority w:val="99"/>
    <w:unhideWhenUsed/>
    <w:rsid w:val="000039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39B6"/>
  </w:style>
  <w:style w:type="character" w:styleId="Hyperlink">
    <w:name w:val="Hyperlink"/>
    <w:basedOn w:val="DefaultParagraphFont"/>
    <w:uiPriority w:val="99"/>
    <w:unhideWhenUsed/>
    <w:rsid w:val="00E949DE"/>
    <w:rPr>
      <w:color w:val="0563C1" w:themeColor="hyperlink"/>
      <w:u w:val="single"/>
    </w:rPr>
  </w:style>
  <w:style w:type="character" w:styleId="UnresolvedMention">
    <w:name w:val="Unresolved Mention"/>
    <w:basedOn w:val="DefaultParagraphFont"/>
    <w:uiPriority w:val="99"/>
    <w:semiHidden/>
    <w:unhideWhenUsed/>
    <w:rsid w:val="00E949DE"/>
    <w:rPr>
      <w:color w:val="605E5C"/>
      <w:shd w:val="clear" w:color="auto" w:fill="E1DFDD"/>
    </w:rPr>
  </w:style>
  <w:style w:type="table" w:styleId="TableGrid">
    <w:name w:val="Table Grid"/>
    <w:basedOn w:val="TableNormal"/>
    <w:uiPriority w:val="39"/>
    <w:rsid w:val="00C87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57462"/>
    <w:rPr>
      <w:rFonts w:ascii="Times New Roman" w:hAnsi="Times New Roman" w:cs="Times New Roman"/>
      <w:sz w:val="24"/>
      <w:szCs w:val="24"/>
    </w:rPr>
  </w:style>
  <w:style w:type="character" w:styleId="FootnoteReference">
    <w:name w:val="footnote reference"/>
    <w:basedOn w:val="DefaultParagraphFont"/>
    <w:uiPriority w:val="99"/>
    <w:semiHidden/>
    <w:unhideWhenUsed/>
    <w:rsid w:val="00DC7E9F"/>
    <w:rPr>
      <w:vertAlign w:val="superscript"/>
    </w:rPr>
  </w:style>
  <w:style w:type="character" w:styleId="FollowedHyperlink">
    <w:name w:val="FollowedHyperlink"/>
    <w:basedOn w:val="DefaultParagraphFont"/>
    <w:uiPriority w:val="99"/>
    <w:semiHidden/>
    <w:unhideWhenUsed/>
    <w:rsid w:val="00207F73"/>
    <w:rPr>
      <w:color w:val="954F72" w:themeColor="followedHyperlink"/>
      <w:u w:val="single"/>
    </w:rPr>
  </w:style>
  <w:style w:type="character" w:customStyle="1" w:styleId="FootnoteTextChar">
    <w:name w:val="Footnote Text Char"/>
    <w:aliases w:val="Footnote Text Char Char Char,Footnote Text Char1 Char Char Char,Footnote Text Char Char Char Char Char,Footnote Text Char Char1 Char"/>
    <w:basedOn w:val="DefaultParagraphFont"/>
    <w:link w:val="FootnoteText"/>
    <w:semiHidden/>
    <w:locked/>
    <w:rsid w:val="005B19E0"/>
  </w:style>
  <w:style w:type="paragraph" w:styleId="FootnoteText">
    <w:name w:val="footnote text"/>
    <w:aliases w:val="Footnote Text Char Char,Footnote Text Char1 Char Char,Footnote Text Char Char Char Char,Footnote Text Char Char1"/>
    <w:basedOn w:val="Normal"/>
    <w:link w:val="FootnoteTextChar"/>
    <w:semiHidden/>
    <w:unhideWhenUsed/>
    <w:rsid w:val="005B19E0"/>
    <w:pPr>
      <w:spacing w:after="240" w:line="240" w:lineRule="auto"/>
      <w:ind w:firstLine="720"/>
      <w:jc w:val="both"/>
    </w:pPr>
  </w:style>
  <w:style w:type="character" w:customStyle="1" w:styleId="FootnoteTextChar1">
    <w:name w:val="Footnote Text Char1"/>
    <w:basedOn w:val="DefaultParagraphFont"/>
    <w:uiPriority w:val="99"/>
    <w:semiHidden/>
    <w:rsid w:val="005B19E0"/>
    <w:rPr>
      <w:sz w:val="20"/>
      <w:szCs w:val="20"/>
    </w:rPr>
  </w:style>
  <w:style w:type="character" w:styleId="CommentReference">
    <w:name w:val="annotation reference"/>
    <w:basedOn w:val="DefaultParagraphFont"/>
    <w:uiPriority w:val="99"/>
    <w:semiHidden/>
    <w:unhideWhenUsed/>
    <w:rsid w:val="008634F1"/>
    <w:rPr>
      <w:sz w:val="16"/>
      <w:szCs w:val="16"/>
    </w:rPr>
  </w:style>
  <w:style w:type="paragraph" w:styleId="CommentText">
    <w:name w:val="annotation text"/>
    <w:basedOn w:val="Normal"/>
    <w:link w:val="CommentTextChar"/>
    <w:uiPriority w:val="99"/>
    <w:unhideWhenUsed/>
    <w:rsid w:val="008634F1"/>
    <w:pPr>
      <w:spacing w:line="240" w:lineRule="auto"/>
    </w:pPr>
    <w:rPr>
      <w:sz w:val="20"/>
      <w:szCs w:val="20"/>
    </w:rPr>
  </w:style>
  <w:style w:type="character" w:customStyle="1" w:styleId="CommentTextChar">
    <w:name w:val="Comment Text Char"/>
    <w:basedOn w:val="DefaultParagraphFont"/>
    <w:link w:val="CommentText"/>
    <w:uiPriority w:val="99"/>
    <w:rsid w:val="008634F1"/>
    <w:rPr>
      <w:sz w:val="20"/>
      <w:szCs w:val="20"/>
    </w:rPr>
  </w:style>
  <w:style w:type="paragraph" w:styleId="CommentSubject">
    <w:name w:val="annotation subject"/>
    <w:basedOn w:val="CommentText"/>
    <w:next w:val="CommentText"/>
    <w:link w:val="CommentSubjectChar"/>
    <w:uiPriority w:val="99"/>
    <w:semiHidden/>
    <w:unhideWhenUsed/>
    <w:rsid w:val="008634F1"/>
    <w:rPr>
      <w:b/>
      <w:bCs/>
    </w:rPr>
  </w:style>
  <w:style w:type="character" w:customStyle="1" w:styleId="CommentSubjectChar">
    <w:name w:val="Comment Subject Char"/>
    <w:basedOn w:val="CommentTextChar"/>
    <w:link w:val="CommentSubject"/>
    <w:uiPriority w:val="99"/>
    <w:semiHidden/>
    <w:rsid w:val="008634F1"/>
    <w:rPr>
      <w:b/>
      <w:bCs/>
      <w:sz w:val="20"/>
      <w:szCs w:val="20"/>
    </w:rPr>
  </w:style>
  <w:style w:type="paragraph" w:styleId="Revision">
    <w:name w:val="Revision"/>
    <w:hidden/>
    <w:uiPriority w:val="99"/>
    <w:semiHidden/>
    <w:rsid w:val="00024C93"/>
    <w:pPr>
      <w:spacing w:after="0" w:line="240" w:lineRule="auto"/>
    </w:pPr>
  </w:style>
  <w:style w:type="character" w:customStyle="1" w:styleId="Heading1Char">
    <w:name w:val="Heading 1 Char"/>
    <w:basedOn w:val="DefaultParagraphFont"/>
    <w:link w:val="Heading1"/>
    <w:uiPriority w:val="9"/>
    <w:rsid w:val="00CB5871"/>
    <w:rPr>
      <w:rFonts w:ascii="Arial" w:eastAsia="Times New Roman" w:hAnsi="Arial" w:cs="Times New Roman"/>
      <w:b/>
      <w:bCs/>
      <w:kern w:val="36"/>
      <w:sz w:val="36"/>
      <w:szCs w:val="48"/>
      <w:lang w:eastAsia="en-GB"/>
      <w14:ligatures w14:val="none"/>
    </w:rPr>
  </w:style>
  <w:style w:type="character" w:customStyle="1" w:styleId="cf01">
    <w:name w:val="cf01"/>
    <w:basedOn w:val="DefaultParagraphFont"/>
    <w:rsid w:val="001A6972"/>
    <w:rPr>
      <w:rFonts w:ascii="Segoe UI" w:hAnsi="Segoe UI" w:cs="Segoe UI" w:hint="default"/>
      <w:sz w:val="18"/>
      <w:szCs w:val="18"/>
    </w:rPr>
  </w:style>
  <w:style w:type="paragraph" w:customStyle="1" w:styleId="Style1">
    <w:name w:val="Style1"/>
    <w:basedOn w:val="Normal"/>
    <w:link w:val="Style1Char"/>
    <w:qFormat/>
    <w:rsid w:val="00A977AD"/>
    <w:rPr>
      <w:rFonts w:cs="Arial"/>
      <w:b/>
      <w:bCs/>
      <w:szCs w:val="28"/>
    </w:rPr>
  </w:style>
  <w:style w:type="character" w:customStyle="1" w:styleId="Style1Char">
    <w:name w:val="Style1 Char"/>
    <w:basedOn w:val="DefaultParagraphFont"/>
    <w:link w:val="Style1"/>
    <w:rsid w:val="00A977AD"/>
    <w:rPr>
      <w:rFonts w:ascii="Arial" w:hAnsi="Arial" w:cs="Arial"/>
      <w:b/>
      <w:bCs/>
      <w:sz w:val="28"/>
      <w:szCs w:val="28"/>
    </w:rPr>
  </w:style>
  <w:style w:type="numbering" w:customStyle="1" w:styleId="Style2">
    <w:name w:val="Style2"/>
    <w:uiPriority w:val="99"/>
    <w:rsid w:val="00515E4A"/>
    <w:pPr>
      <w:numPr>
        <w:numId w:val="7"/>
      </w:numPr>
    </w:pPr>
  </w:style>
  <w:style w:type="paragraph" w:customStyle="1" w:styleId="Style3">
    <w:name w:val="Style3"/>
    <w:basedOn w:val="ListParagraph"/>
    <w:qFormat/>
    <w:rsid w:val="00515E4A"/>
    <w:pPr>
      <w:numPr>
        <w:numId w:val="8"/>
      </w:numPr>
    </w:pPr>
    <w:rPr>
      <w:color w:val="0000FF"/>
      <w:sz w:val="24"/>
    </w:rPr>
  </w:style>
  <w:style w:type="numbering" w:customStyle="1" w:styleId="Style4">
    <w:name w:val="Style4"/>
    <w:uiPriority w:val="99"/>
    <w:rsid w:val="00515E4A"/>
    <w:pPr>
      <w:numPr>
        <w:numId w:val="9"/>
      </w:numPr>
    </w:pPr>
  </w:style>
  <w:style w:type="numbering" w:customStyle="1" w:styleId="Style5">
    <w:name w:val="Style5"/>
    <w:uiPriority w:val="99"/>
    <w:rsid w:val="00515E4A"/>
    <w:pPr>
      <w:numPr>
        <w:numId w:val="10"/>
      </w:numPr>
    </w:pPr>
  </w:style>
  <w:style w:type="numbering" w:customStyle="1" w:styleId="Style6">
    <w:name w:val="Style6"/>
    <w:uiPriority w:val="99"/>
    <w:rsid w:val="00515E4A"/>
    <w:pPr>
      <w:numPr>
        <w:numId w:val="11"/>
      </w:numPr>
    </w:pPr>
  </w:style>
  <w:style w:type="numbering" w:customStyle="1" w:styleId="Style7">
    <w:name w:val="Style7"/>
    <w:uiPriority w:val="99"/>
    <w:rsid w:val="00F335F1"/>
    <w:pPr>
      <w:numPr>
        <w:numId w:val="12"/>
      </w:numPr>
    </w:pPr>
  </w:style>
  <w:style w:type="numbering" w:customStyle="1" w:styleId="Style8">
    <w:name w:val="Style8"/>
    <w:uiPriority w:val="99"/>
    <w:rsid w:val="00FA5526"/>
    <w:pPr>
      <w:numPr>
        <w:numId w:val="13"/>
      </w:numPr>
    </w:pPr>
  </w:style>
  <w:style w:type="numbering" w:customStyle="1" w:styleId="Style9">
    <w:name w:val="Style9"/>
    <w:uiPriority w:val="99"/>
    <w:rsid w:val="009A30D0"/>
    <w:pPr>
      <w:numPr>
        <w:numId w:val="15"/>
      </w:numPr>
    </w:pPr>
  </w:style>
  <w:style w:type="paragraph" w:customStyle="1" w:styleId="Heading10">
    <w:name w:val="Heading 10"/>
    <w:basedOn w:val="Normal"/>
    <w:link w:val="Heading10Char"/>
    <w:qFormat/>
    <w:rsid w:val="001D3BF8"/>
    <w:rPr>
      <w:rFonts w:cs="Arial"/>
      <w:b/>
      <w:bCs/>
      <w:sz w:val="24"/>
      <w:szCs w:val="24"/>
    </w:rPr>
  </w:style>
  <w:style w:type="character" w:customStyle="1" w:styleId="Heading10Char">
    <w:name w:val="Heading 10 Char"/>
    <w:basedOn w:val="DefaultParagraphFont"/>
    <w:link w:val="Heading10"/>
    <w:rsid w:val="001D3BF8"/>
    <w:rPr>
      <w:rFonts w:ascii="Arial" w:hAnsi="Arial" w:cs="Arial"/>
      <w:b/>
      <w:bCs/>
      <w:sz w:val="24"/>
      <w:szCs w:val="24"/>
    </w:rPr>
  </w:style>
  <w:style w:type="paragraph" w:styleId="TOCHeading">
    <w:name w:val="TOC Heading"/>
    <w:basedOn w:val="Heading1"/>
    <w:next w:val="Normal"/>
    <w:uiPriority w:val="39"/>
    <w:unhideWhenUsed/>
    <w:qFormat/>
    <w:rsid w:val="00811614"/>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Normal"/>
    <w:next w:val="Normal"/>
    <w:autoRedefine/>
    <w:uiPriority w:val="39"/>
    <w:unhideWhenUsed/>
    <w:rsid w:val="007252D6"/>
    <w:pPr>
      <w:spacing w:after="100"/>
    </w:pPr>
    <w:rPr>
      <w:b/>
      <w:sz w:val="24"/>
    </w:rPr>
  </w:style>
  <w:style w:type="character" w:customStyle="1" w:styleId="Heading2Char">
    <w:name w:val="Heading 2 Char"/>
    <w:basedOn w:val="DefaultParagraphFont"/>
    <w:link w:val="Heading2"/>
    <w:uiPriority w:val="9"/>
    <w:rsid w:val="00CB5871"/>
    <w:rPr>
      <w:rFonts w:ascii="Arial" w:eastAsiaTheme="majorEastAsia" w:hAnsi="Arial" w:cstheme="majorBidi"/>
      <w:b/>
      <w:sz w:val="32"/>
      <w:szCs w:val="26"/>
    </w:rPr>
  </w:style>
  <w:style w:type="paragraph" w:styleId="TOC2">
    <w:name w:val="toc 2"/>
    <w:basedOn w:val="Normal"/>
    <w:next w:val="Normal"/>
    <w:autoRedefine/>
    <w:uiPriority w:val="39"/>
    <w:unhideWhenUsed/>
    <w:rsid w:val="00AC3923"/>
    <w:pPr>
      <w:spacing w:after="100"/>
      <w:ind w:left="220"/>
    </w:pPr>
  </w:style>
  <w:style w:type="paragraph" w:styleId="TOC3">
    <w:name w:val="toc 3"/>
    <w:basedOn w:val="Normal"/>
    <w:next w:val="Normal"/>
    <w:autoRedefine/>
    <w:uiPriority w:val="39"/>
    <w:unhideWhenUsed/>
    <w:rsid w:val="00105387"/>
    <w:pPr>
      <w:spacing w:after="100"/>
      <w:ind w:left="440"/>
    </w:pPr>
    <w:rPr>
      <w:rFonts w:eastAsiaTheme="minorEastAsia" w:cs="Times New Roman"/>
      <w:kern w:val="0"/>
      <w:lang w:eastAsia="en-GB"/>
      <w14:ligatures w14:val="none"/>
    </w:rPr>
  </w:style>
  <w:style w:type="character" w:customStyle="1" w:styleId="Heading3Char">
    <w:name w:val="Heading 3 Char"/>
    <w:basedOn w:val="DefaultParagraphFont"/>
    <w:link w:val="Heading3"/>
    <w:uiPriority w:val="9"/>
    <w:rsid w:val="00B10B9C"/>
    <w:rPr>
      <w:rFonts w:ascii="Arial" w:eastAsiaTheme="majorEastAsia" w:hAnsi="Arial" w:cstheme="majorBidi"/>
      <w:b/>
      <w:sz w:val="28"/>
      <w:szCs w:val="24"/>
    </w:rPr>
  </w:style>
  <w:style w:type="paragraph" w:styleId="EndnoteText">
    <w:name w:val="endnote text"/>
    <w:basedOn w:val="Normal"/>
    <w:link w:val="EndnoteTextChar"/>
    <w:uiPriority w:val="99"/>
    <w:semiHidden/>
    <w:unhideWhenUsed/>
    <w:rsid w:val="009A1D0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A1D09"/>
    <w:rPr>
      <w:rFonts w:ascii="Arial" w:hAnsi="Arial"/>
      <w:sz w:val="20"/>
      <w:szCs w:val="20"/>
    </w:rPr>
  </w:style>
  <w:style w:type="character" w:styleId="EndnoteReference">
    <w:name w:val="endnote reference"/>
    <w:basedOn w:val="DefaultParagraphFont"/>
    <w:uiPriority w:val="99"/>
    <w:semiHidden/>
    <w:unhideWhenUsed/>
    <w:rsid w:val="009A1D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33770">
      <w:bodyDiv w:val="1"/>
      <w:marLeft w:val="0"/>
      <w:marRight w:val="0"/>
      <w:marTop w:val="0"/>
      <w:marBottom w:val="0"/>
      <w:divBdr>
        <w:top w:val="none" w:sz="0" w:space="0" w:color="auto"/>
        <w:left w:val="none" w:sz="0" w:space="0" w:color="auto"/>
        <w:bottom w:val="none" w:sz="0" w:space="0" w:color="auto"/>
        <w:right w:val="none" w:sz="0" w:space="0" w:color="auto"/>
      </w:divBdr>
    </w:div>
    <w:div w:id="121046836">
      <w:bodyDiv w:val="1"/>
      <w:marLeft w:val="0"/>
      <w:marRight w:val="0"/>
      <w:marTop w:val="0"/>
      <w:marBottom w:val="0"/>
      <w:divBdr>
        <w:top w:val="none" w:sz="0" w:space="0" w:color="auto"/>
        <w:left w:val="none" w:sz="0" w:space="0" w:color="auto"/>
        <w:bottom w:val="none" w:sz="0" w:space="0" w:color="auto"/>
        <w:right w:val="none" w:sz="0" w:space="0" w:color="auto"/>
      </w:divBdr>
    </w:div>
    <w:div w:id="154298484">
      <w:bodyDiv w:val="1"/>
      <w:marLeft w:val="0"/>
      <w:marRight w:val="0"/>
      <w:marTop w:val="0"/>
      <w:marBottom w:val="0"/>
      <w:divBdr>
        <w:top w:val="none" w:sz="0" w:space="0" w:color="auto"/>
        <w:left w:val="none" w:sz="0" w:space="0" w:color="auto"/>
        <w:bottom w:val="none" w:sz="0" w:space="0" w:color="auto"/>
        <w:right w:val="none" w:sz="0" w:space="0" w:color="auto"/>
      </w:divBdr>
      <w:divsChild>
        <w:div w:id="1871643428">
          <w:marLeft w:val="0"/>
          <w:marRight w:val="0"/>
          <w:marTop w:val="0"/>
          <w:marBottom w:val="0"/>
          <w:divBdr>
            <w:top w:val="none" w:sz="0" w:space="0" w:color="auto"/>
            <w:left w:val="none" w:sz="0" w:space="0" w:color="auto"/>
            <w:bottom w:val="none" w:sz="0" w:space="0" w:color="auto"/>
            <w:right w:val="none" w:sz="0" w:space="0" w:color="auto"/>
          </w:divBdr>
          <w:divsChild>
            <w:div w:id="1607539166">
              <w:marLeft w:val="0"/>
              <w:marRight w:val="0"/>
              <w:marTop w:val="0"/>
              <w:marBottom w:val="0"/>
              <w:divBdr>
                <w:top w:val="none" w:sz="0" w:space="0" w:color="auto"/>
                <w:left w:val="none" w:sz="0" w:space="0" w:color="auto"/>
                <w:bottom w:val="none" w:sz="0" w:space="0" w:color="auto"/>
                <w:right w:val="none" w:sz="0" w:space="0" w:color="auto"/>
              </w:divBdr>
              <w:divsChild>
                <w:div w:id="413477049">
                  <w:marLeft w:val="0"/>
                  <w:marRight w:val="0"/>
                  <w:marTop w:val="0"/>
                  <w:marBottom w:val="0"/>
                  <w:divBdr>
                    <w:top w:val="none" w:sz="0" w:space="0" w:color="auto"/>
                    <w:left w:val="none" w:sz="0" w:space="0" w:color="auto"/>
                    <w:bottom w:val="none" w:sz="0" w:space="0" w:color="auto"/>
                    <w:right w:val="none" w:sz="0" w:space="0" w:color="auto"/>
                  </w:divBdr>
                </w:div>
                <w:div w:id="1249538545">
                  <w:marLeft w:val="0"/>
                  <w:marRight w:val="0"/>
                  <w:marTop w:val="0"/>
                  <w:marBottom w:val="0"/>
                  <w:divBdr>
                    <w:top w:val="none" w:sz="0" w:space="0" w:color="auto"/>
                    <w:left w:val="none" w:sz="0" w:space="0" w:color="auto"/>
                    <w:bottom w:val="none" w:sz="0" w:space="0" w:color="auto"/>
                    <w:right w:val="none" w:sz="0" w:space="0" w:color="auto"/>
                  </w:divBdr>
                </w:div>
                <w:div w:id="122448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5005">
      <w:bodyDiv w:val="1"/>
      <w:marLeft w:val="0"/>
      <w:marRight w:val="0"/>
      <w:marTop w:val="0"/>
      <w:marBottom w:val="0"/>
      <w:divBdr>
        <w:top w:val="none" w:sz="0" w:space="0" w:color="auto"/>
        <w:left w:val="none" w:sz="0" w:space="0" w:color="auto"/>
        <w:bottom w:val="none" w:sz="0" w:space="0" w:color="auto"/>
        <w:right w:val="none" w:sz="0" w:space="0" w:color="auto"/>
      </w:divBdr>
    </w:div>
    <w:div w:id="227959656">
      <w:bodyDiv w:val="1"/>
      <w:marLeft w:val="0"/>
      <w:marRight w:val="0"/>
      <w:marTop w:val="0"/>
      <w:marBottom w:val="0"/>
      <w:divBdr>
        <w:top w:val="none" w:sz="0" w:space="0" w:color="auto"/>
        <w:left w:val="none" w:sz="0" w:space="0" w:color="auto"/>
        <w:bottom w:val="none" w:sz="0" w:space="0" w:color="auto"/>
        <w:right w:val="none" w:sz="0" w:space="0" w:color="auto"/>
      </w:divBdr>
    </w:div>
    <w:div w:id="321348287">
      <w:bodyDiv w:val="1"/>
      <w:marLeft w:val="0"/>
      <w:marRight w:val="0"/>
      <w:marTop w:val="0"/>
      <w:marBottom w:val="0"/>
      <w:divBdr>
        <w:top w:val="none" w:sz="0" w:space="0" w:color="auto"/>
        <w:left w:val="none" w:sz="0" w:space="0" w:color="auto"/>
        <w:bottom w:val="none" w:sz="0" w:space="0" w:color="auto"/>
        <w:right w:val="none" w:sz="0" w:space="0" w:color="auto"/>
      </w:divBdr>
    </w:div>
    <w:div w:id="353380515">
      <w:bodyDiv w:val="1"/>
      <w:marLeft w:val="0"/>
      <w:marRight w:val="0"/>
      <w:marTop w:val="0"/>
      <w:marBottom w:val="0"/>
      <w:divBdr>
        <w:top w:val="none" w:sz="0" w:space="0" w:color="auto"/>
        <w:left w:val="none" w:sz="0" w:space="0" w:color="auto"/>
        <w:bottom w:val="none" w:sz="0" w:space="0" w:color="auto"/>
        <w:right w:val="none" w:sz="0" w:space="0" w:color="auto"/>
      </w:divBdr>
    </w:div>
    <w:div w:id="387145160">
      <w:bodyDiv w:val="1"/>
      <w:marLeft w:val="0"/>
      <w:marRight w:val="0"/>
      <w:marTop w:val="0"/>
      <w:marBottom w:val="0"/>
      <w:divBdr>
        <w:top w:val="none" w:sz="0" w:space="0" w:color="auto"/>
        <w:left w:val="none" w:sz="0" w:space="0" w:color="auto"/>
        <w:bottom w:val="none" w:sz="0" w:space="0" w:color="auto"/>
        <w:right w:val="none" w:sz="0" w:space="0" w:color="auto"/>
      </w:divBdr>
    </w:div>
    <w:div w:id="457262755">
      <w:bodyDiv w:val="1"/>
      <w:marLeft w:val="0"/>
      <w:marRight w:val="0"/>
      <w:marTop w:val="0"/>
      <w:marBottom w:val="0"/>
      <w:divBdr>
        <w:top w:val="none" w:sz="0" w:space="0" w:color="auto"/>
        <w:left w:val="none" w:sz="0" w:space="0" w:color="auto"/>
        <w:bottom w:val="none" w:sz="0" w:space="0" w:color="auto"/>
        <w:right w:val="none" w:sz="0" w:space="0" w:color="auto"/>
      </w:divBdr>
    </w:div>
    <w:div w:id="467164294">
      <w:bodyDiv w:val="1"/>
      <w:marLeft w:val="0"/>
      <w:marRight w:val="0"/>
      <w:marTop w:val="0"/>
      <w:marBottom w:val="0"/>
      <w:divBdr>
        <w:top w:val="none" w:sz="0" w:space="0" w:color="auto"/>
        <w:left w:val="none" w:sz="0" w:space="0" w:color="auto"/>
        <w:bottom w:val="none" w:sz="0" w:space="0" w:color="auto"/>
        <w:right w:val="none" w:sz="0" w:space="0" w:color="auto"/>
      </w:divBdr>
    </w:div>
    <w:div w:id="578559660">
      <w:bodyDiv w:val="1"/>
      <w:marLeft w:val="0"/>
      <w:marRight w:val="0"/>
      <w:marTop w:val="0"/>
      <w:marBottom w:val="0"/>
      <w:divBdr>
        <w:top w:val="none" w:sz="0" w:space="0" w:color="auto"/>
        <w:left w:val="none" w:sz="0" w:space="0" w:color="auto"/>
        <w:bottom w:val="none" w:sz="0" w:space="0" w:color="auto"/>
        <w:right w:val="none" w:sz="0" w:space="0" w:color="auto"/>
      </w:divBdr>
    </w:div>
    <w:div w:id="730230245">
      <w:bodyDiv w:val="1"/>
      <w:marLeft w:val="0"/>
      <w:marRight w:val="0"/>
      <w:marTop w:val="0"/>
      <w:marBottom w:val="0"/>
      <w:divBdr>
        <w:top w:val="none" w:sz="0" w:space="0" w:color="auto"/>
        <w:left w:val="none" w:sz="0" w:space="0" w:color="auto"/>
        <w:bottom w:val="none" w:sz="0" w:space="0" w:color="auto"/>
        <w:right w:val="none" w:sz="0" w:space="0" w:color="auto"/>
      </w:divBdr>
    </w:div>
    <w:div w:id="847791127">
      <w:bodyDiv w:val="1"/>
      <w:marLeft w:val="0"/>
      <w:marRight w:val="0"/>
      <w:marTop w:val="0"/>
      <w:marBottom w:val="0"/>
      <w:divBdr>
        <w:top w:val="none" w:sz="0" w:space="0" w:color="auto"/>
        <w:left w:val="none" w:sz="0" w:space="0" w:color="auto"/>
        <w:bottom w:val="none" w:sz="0" w:space="0" w:color="auto"/>
        <w:right w:val="none" w:sz="0" w:space="0" w:color="auto"/>
      </w:divBdr>
    </w:div>
    <w:div w:id="880438912">
      <w:bodyDiv w:val="1"/>
      <w:marLeft w:val="0"/>
      <w:marRight w:val="0"/>
      <w:marTop w:val="0"/>
      <w:marBottom w:val="0"/>
      <w:divBdr>
        <w:top w:val="none" w:sz="0" w:space="0" w:color="auto"/>
        <w:left w:val="none" w:sz="0" w:space="0" w:color="auto"/>
        <w:bottom w:val="none" w:sz="0" w:space="0" w:color="auto"/>
        <w:right w:val="none" w:sz="0" w:space="0" w:color="auto"/>
      </w:divBdr>
    </w:div>
    <w:div w:id="992560620">
      <w:bodyDiv w:val="1"/>
      <w:marLeft w:val="0"/>
      <w:marRight w:val="0"/>
      <w:marTop w:val="0"/>
      <w:marBottom w:val="0"/>
      <w:divBdr>
        <w:top w:val="none" w:sz="0" w:space="0" w:color="auto"/>
        <w:left w:val="none" w:sz="0" w:space="0" w:color="auto"/>
        <w:bottom w:val="none" w:sz="0" w:space="0" w:color="auto"/>
        <w:right w:val="none" w:sz="0" w:space="0" w:color="auto"/>
      </w:divBdr>
    </w:div>
    <w:div w:id="1013993936">
      <w:bodyDiv w:val="1"/>
      <w:marLeft w:val="0"/>
      <w:marRight w:val="0"/>
      <w:marTop w:val="0"/>
      <w:marBottom w:val="0"/>
      <w:divBdr>
        <w:top w:val="none" w:sz="0" w:space="0" w:color="auto"/>
        <w:left w:val="none" w:sz="0" w:space="0" w:color="auto"/>
        <w:bottom w:val="none" w:sz="0" w:space="0" w:color="auto"/>
        <w:right w:val="none" w:sz="0" w:space="0" w:color="auto"/>
      </w:divBdr>
    </w:div>
    <w:div w:id="1015497757">
      <w:bodyDiv w:val="1"/>
      <w:marLeft w:val="0"/>
      <w:marRight w:val="0"/>
      <w:marTop w:val="0"/>
      <w:marBottom w:val="0"/>
      <w:divBdr>
        <w:top w:val="none" w:sz="0" w:space="0" w:color="auto"/>
        <w:left w:val="none" w:sz="0" w:space="0" w:color="auto"/>
        <w:bottom w:val="none" w:sz="0" w:space="0" w:color="auto"/>
        <w:right w:val="none" w:sz="0" w:space="0" w:color="auto"/>
      </w:divBdr>
    </w:div>
    <w:div w:id="1086607039">
      <w:bodyDiv w:val="1"/>
      <w:marLeft w:val="0"/>
      <w:marRight w:val="0"/>
      <w:marTop w:val="0"/>
      <w:marBottom w:val="0"/>
      <w:divBdr>
        <w:top w:val="none" w:sz="0" w:space="0" w:color="auto"/>
        <w:left w:val="none" w:sz="0" w:space="0" w:color="auto"/>
        <w:bottom w:val="none" w:sz="0" w:space="0" w:color="auto"/>
        <w:right w:val="none" w:sz="0" w:space="0" w:color="auto"/>
      </w:divBdr>
    </w:div>
    <w:div w:id="1137796964">
      <w:bodyDiv w:val="1"/>
      <w:marLeft w:val="0"/>
      <w:marRight w:val="0"/>
      <w:marTop w:val="0"/>
      <w:marBottom w:val="0"/>
      <w:divBdr>
        <w:top w:val="none" w:sz="0" w:space="0" w:color="auto"/>
        <w:left w:val="none" w:sz="0" w:space="0" w:color="auto"/>
        <w:bottom w:val="none" w:sz="0" w:space="0" w:color="auto"/>
        <w:right w:val="none" w:sz="0" w:space="0" w:color="auto"/>
      </w:divBdr>
    </w:div>
    <w:div w:id="1228344229">
      <w:bodyDiv w:val="1"/>
      <w:marLeft w:val="0"/>
      <w:marRight w:val="0"/>
      <w:marTop w:val="0"/>
      <w:marBottom w:val="0"/>
      <w:divBdr>
        <w:top w:val="none" w:sz="0" w:space="0" w:color="auto"/>
        <w:left w:val="none" w:sz="0" w:space="0" w:color="auto"/>
        <w:bottom w:val="none" w:sz="0" w:space="0" w:color="auto"/>
        <w:right w:val="none" w:sz="0" w:space="0" w:color="auto"/>
      </w:divBdr>
    </w:div>
    <w:div w:id="1300724609">
      <w:bodyDiv w:val="1"/>
      <w:marLeft w:val="0"/>
      <w:marRight w:val="0"/>
      <w:marTop w:val="0"/>
      <w:marBottom w:val="0"/>
      <w:divBdr>
        <w:top w:val="none" w:sz="0" w:space="0" w:color="auto"/>
        <w:left w:val="none" w:sz="0" w:space="0" w:color="auto"/>
        <w:bottom w:val="none" w:sz="0" w:space="0" w:color="auto"/>
        <w:right w:val="none" w:sz="0" w:space="0" w:color="auto"/>
      </w:divBdr>
      <w:divsChild>
        <w:div w:id="1480995952">
          <w:marLeft w:val="0"/>
          <w:marRight w:val="0"/>
          <w:marTop w:val="0"/>
          <w:marBottom w:val="0"/>
          <w:divBdr>
            <w:top w:val="none" w:sz="0" w:space="0" w:color="auto"/>
            <w:left w:val="none" w:sz="0" w:space="0" w:color="auto"/>
            <w:bottom w:val="none" w:sz="0" w:space="0" w:color="auto"/>
            <w:right w:val="none" w:sz="0" w:space="0" w:color="auto"/>
          </w:divBdr>
          <w:divsChild>
            <w:div w:id="1270432028">
              <w:marLeft w:val="0"/>
              <w:marRight w:val="0"/>
              <w:marTop w:val="0"/>
              <w:marBottom w:val="0"/>
              <w:divBdr>
                <w:top w:val="none" w:sz="0" w:space="0" w:color="auto"/>
                <w:left w:val="none" w:sz="0" w:space="0" w:color="auto"/>
                <w:bottom w:val="none" w:sz="0" w:space="0" w:color="auto"/>
                <w:right w:val="none" w:sz="0" w:space="0" w:color="auto"/>
              </w:divBdr>
              <w:divsChild>
                <w:div w:id="325284003">
                  <w:marLeft w:val="0"/>
                  <w:marRight w:val="0"/>
                  <w:marTop w:val="0"/>
                  <w:marBottom w:val="0"/>
                  <w:divBdr>
                    <w:top w:val="none" w:sz="0" w:space="0" w:color="auto"/>
                    <w:left w:val="none" w:sz="0" w:space="0" w:color="auto"/>
                    <w:bottom w:val="none" w:sz="0" w:space="0" w:color="auto"/>
                    <w:right w:val="none" w:sz="0" w:space="0" w:color="auto"/>
                  </w:divBdr>
                </w:div>
                <w:div w:id="89319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622242">
          <w:marLeft w:val="0"/>
          <w:marRight w:val="0"/>
          <w:marTop w:val="0"/>
          <w:marBottom w:val="0"/>
          <w:divBdr>
            <w:top w:val="none" w:sz="0" w:space="0" w:color="auto"/>
            <w:left w:val="none" w:sz="0" w:space="0" w:color="auto"/>
            <w:bottom w:val="none" w:sz="0" w:space="0" w:color="auto"/>
            <w:right w:val="none" w:sz="0" w:space="0" w:color="auto"/>
          </w:divBdr>
          <w:divsChild>
            <w:div w:id="1891064324">
              <w:marLeft w:val="0"/>
              <w:marRight w:val="0"/>
              <w:marTop w:val="0"/>
              <w:marBottom w:val="0"/>
              <w:divBdr>
                <w:top w:val="none" w:sz="0" w:space="0" w:color="auto"/>
                <w:left w:val="none" w:sz="0" w:space="0" w:color="auto"/>
                <w:bottom w:val="none" w:sz="0" w:space="0" w:color="auto"/>
                <w:right w:val="none" w:sz="0" w:space="0" w:color="auto"/>
              </w:divBdr>
              <w:divsChild>
                <w:div w:id="1086806282">
                  <w:marLeft w:val="0"/>
                  <w:marRight w:val="0"/>
                  <w:marTop w:val="0"/>
                  <w:marBottom w:val="0"/>
                  <w:divBdr>
                    <w:top w:val="none" w:sz="0" w:space="0" w:color="auto"/>
                    <w:left w:val="none" w:sz="0" w:space="0" w:color="auto"/>
                    <w:bottom w:val="none" w:sz="0" w:space="0" w:color="auto"/>
                    <w:right w:val="none" w:sz="0" w:space="0" w:color="auto"/>
                  </w:divBdr>
                </w:div>
                <w:div w:id="1870873816">
                  <w:marLeft w:val="0"/>
                  <w:marRight w:val="0"/>
                  <w:marTop w:val="0"/>
                  <w:marBottom w:val="0"/>
                  <w:divBdr>
                    <w:top w:val="none" w:sz="0" w:space="0" w:color="auto"/>
                    <w:left w:val="none" w:sz="0" w:space="0" w:color="auto"/>
                    <w:bottom w:val="none" w:sz="0" w:space="0" w:color="auto"/>
                    <w:right w:val="none" w:sz="0" w:space="0" w:color="auto"/>
                  </w:divBdr>
                </w:div>
                <w:div w:id="46636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343680">
      <w:bodyDiv w:val="1"/>
      <w:marLeft w:val="0"/>
      <w:marRight w:val="0"/>
      <w:marTop w:val="0"/>
      <w:marBottom w:val="0"/>
      <w:divBdr>
        <w:top w:val="none" w:sz="0" w:space="0" w:color="auto"/>
        <w:left w:val="none" w:sz="0" w:space="0" w:color="auto"/>
        <w:bottom w:val="none" w:sz="0" w:space="0" w:color="auto"/>
        <w:right w:val="none" w:sz="0" w:space="0" w:color="auto"/>
      </w:divBdr>
    </w:div>
    <w:div w:id="1525826090">
      <w:bodyDiv w:val="1"/>
      <w:marLeft w:val="0"/>
      <w:marRight w:val="0"/>
      <w:marTop w:val="0"/>
      <w:marBottom w:val="0"/>
      <w:divBdr>
        <w:top w:val="none" w:sz="0" w:space="0" w:color="auto"/>
        <w:left w:val="none" w:sz="0" w:space="0" w:color="auto"/>
        <w:bottom w:val="none" w:sz="0" w:space="0" w:color="auto"/>
        <w:right w:val="none" w:sz="0" w:space="0" w:color="auto"/>
      </w:divBdr>
    </w:div>
    <w:div w:id="1741562439">
      <w:bodyDiv w:val="1"/>
      <w:marLeft w:val="0"/>
      <w:marRight w:val="0"/>
      <w:marTop w:val="0"/>
      <w:marBottom w:val="0"/>
      <w:divBdr>
        <w:top w:val="none" w:sz="0" w:space="0" w:color="auto"/>
        <w:left w:val="none" w:sz="0" w:space="0" w:color="auto"/>
        <w:bottom w:val="none" w:sz="0" w:space="0" w:color="auto"/>
        <w:right w:val="none" w:sz="0" w:space="0" w:color="auto"/>
      </w:divBdr>
    </w:div>
    <w:div w:id="1821774317">
      <w:bodyDiv w:val="1"/>
      <w:marLeft w:val="0"/>
      <w:marRight w:val="0"/>
      <w:marTop w:val="0"/>
      <w:marBottom w:val="0"/>
      <w:divBdr>
        <w:top w:val="none" w:sz="0" w:space="0" w:color="auto"/>
        <w:left w:val="none" w:sz="0" w:space="0" w:color="auto"/>
        <w:bottom w:val="none" w:sz="0" w:space="0" w:color="auto"/>
        <w:right w:val="none" w:sz="0" w:space="0" w:color="auto"/>
      </w:divBdr>
    </w:div>
    <w:div w:id="1976400686">
      <w:bodyDiv w:val="1"/>
      <w:marLeft w:val="0"/>
      <w:marRight w:val="0"/>
      <w:marTop w:val="0"/>
      <w:marBottom w:val="0"/>
      <w:divBdr>
        <w:top w:val="none" w:sz="0" w:space="0" w:color="auto"/>
        <w:left w:val="none" w:sz="0" w:space="0" w:color="auto"/>
        <w:bottom w:val="none" w:sz="0" w:space="0" w:color="auto"/>
        <w:right w:val="none" w:sz="0" w:space="0" w:color="auto"/>
      </w:divBdr>
    </w:div>
    <w:div w:id="2050911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scot/publications/caring-compassionate-human-rights-informed-drug-policy-scotland/" TargetMode="External"/><Relationship Id="rId18" Type="http://schemas.openxmlformats.org/officeDocument/2006/relationships/hyperlink" Target="https://www.alliance-scotland.org.uk/lived-experience/engagement/national-collaborative/draft-charter-of-rights-for-people-affected-by-substance-use-consultation-findings-2024/" TargetMode="External"/><Relationship Id="rId26" Type="http://schemas.openxmlformats.org/officeDocument/2006/relationships/hyperlink" Target="https://idpc.net/publications/2022/12/converging-universes-20-years-of-human-rights-and-drug-policy-at-the-united-nations" TargetMode="External"/><Relationship Id="rId39" Type="http://schemas.openxmlformats.org/officeDocument/2006/relationships/hyperlink" Target="https://documents.un.org/doc/undoc/gen/g06/419/60/pdf/g0641960.pdf?OpenElement" TargetMode="External"/><Relationship Id="rId21" Type="http://schemas.openxmlformats.org/officeDocument/2006/relationships/hyperlink" Target="https://www.legislation.gov.uk/ukpga/1998/42/contents" TargetMode="External"/><Relationship Id="rId34" Type="http://schemas.openxmlformats.org/officeDocument/2006/relationships/hyperlink" Target="https://www.refworld.org/pdfid/4538838c11.pdf"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lliance-scotland.org.uk/lived-experience/engagement/national-collaborative/toolkit-charter-of-rights-for-people-affected-by-substance-use/" TargetMode="External"/><Relationship Id="rId20" Type="http://schemas.openxmlformats.org/officeDocument/2006/relationships/hyperlink" Target="https://www.gov.scot/binaries/content/documents/govscot/publications/factsheet/2021/01/national-taskforce-for-human-rights-leadership-academic-advisory-panel-papers/documents/aap-paper-katie-boyle---meaning-and-content-of-duties/aap-paper-katie-boyle---meaning-and-content-of-duties/govscot%3Adocument/AAP%2BPaper%2B-%2BNationalTaskforce%2B-%2BKatie%2BBoyle%2B-%2BMeaning%2Band%2BContent%2Bof%2BDuties%2B-%2BJuly%2B2020%2B%25281%2529.pdf" TargetMode="External"/><Relationship Id="rId29" Type="http://schemas.openxmlformats.org/officeDocument/2006/relationships/hyperlink" Target="https://tbinternet.ohchr.org/_layouts/15/treatybodyexternal/TBSearch.aspx?Lang=en&amp;TreatyID=9&amp;DocTypeID=1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cot/policies/alcohol-and-drugs/national-mission/" TargetMode="External"/><Relationship Id="rId24" Type="http://schemas.openxmlformats.org/officeDocument/2006/relationships/hyperlink" Target="https://rm.coe.int/human-rights-in-drug-policy-final-web/1680a8148d" TargetMode="External"/><Relationship Id="rId32" Type="http://schemas.openxmlformats.org/officeDocument/2006/relationships/hyperlink" Target="https://www.refworld.org/pdfid/47a7079a1.pdf" TargetMode="External"/><Relationship Id="rId37" Type="http://schemas.openxmlformats.org/officeDocument/2006/relationships/hyperlink" Target="https://documents.un.org/doc/undoc/gen/n10/477/91/pdf/n1047791.pdf?OpenElement" TargetMode="External"/><Relationship Id="rId40" Type="http://schemas.openxmlformats.org/officeDocument/2006/relationships/hyperlink" Target="https://www.ohchr.org/en/documents/reports/report-indicators-promoting-and-monitoring-implementation-human-rights-hrimc20083" TargetMode="External"/><Relationship Id="rId5" Type="http://schemas.openxmlformats.org/officeDocument/2006/relationships/webSettings" Target="webSettings.xml"/><Relationship Id="rId15" Type="http://schemas.openxmlformats.org/officeDocument/2006/relationships/hyperlink" Target="https://drugstaskforce.knowthescore.info/" TargetMode="External"/><Relationship Id="rId23" Type="http://schemas.openxmlformats.org/officeDocument/2006/relationships/hyperlink" Target="https://www.echr.coe.int/documents/d/echr/Convention_ENG" TargetMode="External"/><Relationship Id="rId28" Type="http://schemas.openxmlformats.org/officeDocument/2006/relationships/hyperlink" Target="https://www.ohchr.org/en/instruments-mechanisms/instruments/international-covenant-economic-social-and-cultural-rights" TargetMode="External"/><Relationship Id="rId36" Type="http://schemas.openxmlformats.org/officeDocument/2006/relationships/hyperlink" Target="https://digitallibrary.un.org/record/607726" TargetMode="External"/><Relationship Id="rId10" Type="http://schemas.openxmlformats.org/officeDocument/2006/relationships/footer" Target="footer1.xml"/><Relationship Id="rId19" Type="http://schemas.openxmlformats.org/officeDocument/2006/relationships/hyperlink" Target="https://www.gov.scot/publications/human-rights-bill-scotland-guide-consultation/" TargetMode="External"/><Relationship Id="rId31" Type="http://schemas.openxmlformats.org/officeDocument/2006/relationships/hyperlink" Target="https://www.refworld.org/docid/47b17b5b39c.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scot/publications/rights-respect-recovery/" TargetMode="External"/><Relationship Id="rId22" Type="http://schemas.openxmlformats.org/officeDocument/2006/relationships/hyperlink" Target="https://www.legislation.gov.uk/ukpga/1971/38/contents" TargetMode="External"/><Relationship Id="rId27" Type="http://schemas.openxmlformats.org/officeDocument/2006/relationships/hyperlink" Target="https://www.humanrights-drugpolicy.org/" TargetMode="External"/><Relationship Id="rId30" Type="http://schemas.openxmlformats.org/officeDocument/2006/relationships/hyperlink" Target="https://www.refworld.org/pdfid/4538838d0.pdf" TargetMode="External"/><Relationship Id="rId35" Type="http://schemas.openxmlformats.org/officeDocument/2006/relationships/hyperlink" Target="https://www.refworld.org/docid/4a60961f2.html"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gov.scot/publications/national-drugs-mission-plan-2022-2026/" TargetMode="External"/><Relationship Id="rId17" Type="http://schemas.openxmlformats.org/officeDocument/2006/relationships/hyperlink" Target="https://www.alliance-scotland.org.uk/lived-experience/engagement/national-collaborative/call-for-evidence-findings/" TargetMode="External"/><Relationship Id="rId25" Type="http://schemas.openxmlformats.org/officeDocument/2006/relationships/hyperlink" Target="https://www.unodc.org/unodc/en/un-common-position-drugs/index.html" TargetMode="External"/><Relationship Id="rId33" Type="http://schemas.openxmlformats.org/officeDocument/2006/relationships/hyperlink" Target="https://www.refworld.org/pdfid/4538838e10.pdf" TargetMode="External"/><Relationship Id="rId38" Type="http://schemas.openxmlformats.org/officeDocument/2006/relationships/hyperlink" Target="https://icd.who.int/en"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file:///\\dc-alliance-01\redirected$\Sarah.Dick\Desktop\Accessible%20versions\Guidance%20on%20human%20rights%20duties%20amd%20principles\8.%09Committee%20on%20Economic,%20Social%20and%20Cultural%20Rights%20General%20Comment%20No%2012,%20Para%2015,%201999" TargetMode="External"/><Relationship Id="rId3" Type="http://schemas.openxmlformats.org/officeDocument/2006/relationships/hyperlink" Target="https://view.officeapps.live.com/op/view.aspx?src=https%3A%2F%2Fwww2.ohchr.org%2Fenglish%2Fbodies%2Fcescr%2Fdocs%2FE.C.12.GC.20.doc&amp;wdOrigin=BROWSELINK" TargetMode="External"/><Relationship Id="rId7" Type="http://schemas.openxmlformats.org/officeDocument/2006/relationships/hyperlink" Target="https://www.ohchr.org/sites/default/files/Documents/Issues/Detention/Call/Others/int-guidelines-on-hhrr-and-drug-policy-201903.pdf" TargetMode="External"/><Relationship Id="rId12" Type="http://schemas.openxmlformats.org/officeDocument/2006/relationships/hyperlink" Target="https://www.scottishhumanrights.com/media/1814/shrc_panel_self-assessment_tool_vfinal.pdf" TargetMode="External"/><Relationship Id="rId2" Type="http://schemas.openxmlformats.org/officeDocument/2006/relationships/hyperlink" Target="https://www.gov.scot/publications/national-taskforce-human-rights-leadership-report/" TargetMode="External"/><Relationship Id="rId1" Type="http://schemas.openxmlformats.org/officeDocument/2006/relationships/hyperlink" Target="https://www.gov.scot/publications/human-rights-bill-scotland-guide-consultation/" TargetMode="External"/><Relationship Id="rId6" Type="http://schemas.openxmlformats.org/officeDocument/2006/relationships/hyperlink" Target="https://www.copfs.gov.uk/about-copfs/news/lord-advocate-s-statement-on-pilot-safer-drug-consumption-facility/" TargetMode="External"/><Relationship Id="rId11" Type="http://schemas.openxmlformats.org/officeDocument/2006/relationships/hyperlink" Target="https://www.scottishhumanrights.com/media/1409/shrc_hrba_leaflet.pdf" TargetMode="External"/><Relationship Id="rId5" Type="http://schemas.openxmlformats.org/officeDocument/2006/relationships/hyperlink" Target="https://www.gov.scot/publications/caring-compassionate-human-rights-informed-drug-policy-scotland/" TargetMode="External"/><Relationship Id="rId10" Type="http://schemas.openxmlformats.org/officeDocument/2006/relationships/hyperlink" Target="https://unsdg.un.org/resources/human-rights-based-approach-development-cooperation-towards-common-understanding-among-un" TargetMode="External"/><Relationship Id="rId4" Type="http://schemas.openxmlformats.org/officeDocument/2006/relationships/hyperlink" Target="https://icd.who.int/en" TargetMode="External"/><Relationship Id="rId9" Type="http://schemas.openxmlformats.org/officeDocument/2006/relationships/hyperlink" Target="https://www.escr-net.org/resources/general-comment-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27440-26DF-4682-8059-60D7568D6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6315</Words>
  <Characters>36000</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2024-12-05T13:46:00Z</dcterms:created>
  <dcterms:modified xsi:type="dcterms:W3CDTF">2025-02-17T10:16:00Z</dcterms:modified>
</cp:coreProperties>
</file>